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34C" w:rsidRDefault="00B3134C" w:rsidP="00B3134C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Ādažu novada domes</w:t>
      </w:r>
    </w:p>
    <w:p w:rsidR="00B3134C" w:rsidRDefault="00B3134C" w:rsidP="00B3134C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Atklāta konkursa</w:t>
      </w:r>
    </w:p>
    <w:p w:rsidR="00B3134C" w:rsidRDefault="00B3134C" w:rsidP="00B3134C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B3134C" w:rsidRPr="00050197" w:rsidRDefault="00B3134C" w:rsidP="00B3134C">
      <w:pPr>
        <w:shd w:val="clear" w:color="auto" w:fill="D6E3BC" w:themeFill="accent3" w:themeFillTint="66"/>
        <w:jc w:val="center"/>
        <w:rPr>
          <w:b/>
        </w:rPr>
      </w:pPr>
      <w:r w:rsidRPr="00050197">
        <w:rPr>
          <w:b/>
        </w:rPr>
        <w:t>„</w:t>
      </w:r>
      <w:r w:rsidRPr="00364095">
        <w:rPr>
          <w:b/>
          <w:sz w:val="28"/>
          <w:szCs w:val="28"/>
        </w:rPr>
        <w:t>Atkārtots iepirkums - Sadzīves atkritumu apsaimniekošana Ādažu novadā</w:t>
      </w:r>
      <w:r w:rsidRPr="00050197">
        <w:rPr>
          <w:b/>
        </w:rPr>
        <w:t>”</w:t>
      </w:r>
    </w:p>
    <w:p w:rsidR="00B3134C" w:rsidRPr="001A75D5" w:rsidRDefault="00B3134C" w:rsidP="001A75D5">
      <w:pPr>
        <w:shd w:val="clear" w:color="auto" w:fill="D6E3BC" w:themeFill="accent3" w:themeFillTint="66"/>
        <w:jc w:val="center"/>
        <w:rPr>
          <w:b/>
        </w:rPr>
      </w:pPr>
      <w:r w:rsidRPr="00050197">
        <w:rPr>
          <w:b/>
        </w:rPr>
        <w:t>(</w:t>
      </w:r>
      <w:proofErr w:type="spellStart"/>
      <w:r w:rsidRPr="00050197">
        <w:rPr>
          <w:b/>
        </w:rPr>
        <w:t>ID.Nr</w:t>
      </w:r>
      <w:proofErr w:type="spellEnd"/>
      <w:r w:rsidRPr="00050197">
        <w:rPr>
          <w:b/>
        </w:rPr>
        <w:t xml:space="preserve">. </w:t>
      </w:r>
      <w:r>
        <w:rPr>
          <w:b/>
        </w:rPr>
        <w:t>ĀND 2019/40</w:t>
      </w:r>
      <w:r w:rsidRPr="00050197">
        <w:rPr>
          <w:b/>
        </w:rPr>
        <w:t>)</w:t>
      </w:r>
    </w:p>
    <w:p w:rsidR="00B3134C" w:rsidRDefault="00B3134C" w:rsidP="00B3134C">
      <w:pPr>
        <w:jc w:val="center"/>
        <w:rPr>
          <w:sz w:val="8"/>
          <w:szCs w:val="8"/>
        </w:rPr>
      </w:pPr>
    </w:p>
    <w:p w:rsidR="00B3134C" w:rsidRDefault="00B3134C" w:rsidP="00B3134C">
      <w:pPr>
        <w:jc w:val="center"/>
      </w:pPr>
      <w:r>
        <w:t>atklāta konkursa komisijas sēdes</w:t>
      </w:r>
    </w:p>
    <w:p w:rsidR="00B3134C" w:rsidRDefault="00B3134C" w:rsidP="00B3134C">
      <w:pPr>
        <w:rPr>
          <w:sz w:val="8"/>
          <w:szCs w:val="8"/>
        </w:rPr>
      </w:pPr>
    </w:p>
    <w:p w:rsidR="00B3134C" w:rsidRDefault="00B3134C" w:rsidP="00B3134C">
      <w:pPr>
        <w:pStyle w:val="Virsraksts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6067B6">
        <w:rPr>
          <w:b/>
        </w:rPr>
        <w:t xml:space="preserve"> Nr.05-30-2019/40-5</w:t>
      </w:r>
    </w:p>
    <w:p w:rsidR="006F18AB" w:rsidRDefault="00E91327" w:rsidP="00E91327">
      <w:pPr>
        <w:tabs>
          <w:tab w:val="right" w:pos="8505"/>
        </w:tabs>
      </w:pPr>
      <w:r>
        <w:t xml:space="preserve">Ādažos </w:t>
      </w:r>
      <w:r w:rsidR="006F18AB">
        <w:tab/>
      </w:r>
      <w:proofErr w:type="spellStart"/>
      <w:r w:rsidR="006F18AB">
        <w:t>2019.gada</w:t>
      </w:r>
      <w:proofErr w:type="spellEnd"/>
      <w:r w:rsidR="006F18AB">
        <w:t xml:space="preserve"> </w:t>
      </w:r>
      <w:proofErr w:type="spellStart"/>
      <w:r w:rsidR="006F18AB">
        <w:t>10.maijā</w:t>
      </w:r>
      <w:proofErr w:type="spellEnd"/>
    </w:p>
    <w:p w:rsidR="00272811" w:rsidRDefault="00272811" w:rsidP="00272811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>
      <w:pPr>
        <w:pStyle w:val="Virsraksts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5C585D" w:rsidP="00272811">
      <w:pPr>
        <w:pStyle w:val="Virsraksts2"/>
        <w:ind w:firstLine="720"/>
        <w:rPr>
          <w:sz w:val="24"/>
        </w:rPr>
      </w:pPr>
      <w:r>
        <w:rPr>
          <w:sz w:val="24"/>
        </w:rPr>
        <w:t>Ko</w:t>
      </w:r>
      <w:r w:rsidR="008D2697">
        <w:rPr>
          <w:sz w:val="24"/>
        </w:rPr>
        <w:t xml:space="preserve">misijas </w:t>
      </w:r>
      <w:r w:rsidR="00977088">
        <w:rPr>
          <w:sz w:val="24"/>
        </w:rPr>
        <w:t xml:space="preserve">priekšsēdētājs </w:t>
      </w:r>
      <w:r w:rsidR="00272811">
        <w:rPr>
          <w:sz w:val="24"/>
        </w:rPr>
        <w:t>atklāj sēdi</w:t>
      </w:r>
      <w:r w:rsidR="002714A8">
        <w:rPr>
          <w:sz w:val="24"/>
        </w:rPr>
        <w:t xml:space="preserve"> plkst. </w:t>
      </w:r>
      <w:r w:rsidR="00E91327" w:rsidRPr="00E91327">
        <w:rPr>
          <w:sz w:val="24"/>
        </w:rPr>
        <w:t>9:</w:t>
      </w:r>
      <w:r w:rsidR="00272811" w:rsidRPr="00E91327">
        <w:rPr>
          <w:sz w:val="24"/>
        </w:rPr>
        <w:t>00.</w:t>
      </w: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39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80"/>
      </w:tblGrid>
      <w:tr w:rsidR="00272811" w:rsidTr="005C585D">
        <w:tc>
          <w:tcPr>
            <w:tcW w:w="3713" w:type="dxa"/>
          </w:tcPr>
          <w:p w:rsidR="008D2697" w:rsidRDefault="00E70C8F" w:rsidP="00B8099E">
            <w:pPr>
              <w:ind w:right="-694"/>
              <w:jc w:val="both"/>
            </w:pPr>
            <w:r>
              <w:t>Ko</w:t>
            </w:r>
            <w:r w:rsidR="00977088">
              <w:t>misijas priekšsēdētājs</w:t>
            </w:r>
            <w:r w:rsidR="008D2697">
              <w:t>:</w:t>
            </w:r>
          </w:p>
          <w:p w:rsidR="002A17BE" w:rsidRDefault="00272811" w:rsidP="00D00D0B">
            <w:pPr>
              <w:ind w:right="-694"/>
              <w:jc w:val="both"/>
            </w:pPr>
            <w:r>
              <w:t>Komisijas locekļi:</w:t>
            </w:r>
          </w:p>
          <w:p w:rsidR="005C3A0B" w:rsidRDefault="005C3A0B" w:rsidP="00D00D0B">
            <w:pPr>
              <w:ind w:right="-694"/>
              <w:jc w:val="both"/>
            </w:pPr>
          </w:p>
          <w:p w:rsidR="00316172" w:rsidRDefault="00316172">
            <w:pPr>
              <w:ind w:left="72" w:right="-694"/>
              <w:jc w:val="both"/>
            </w:pPr>
          </w:p>
          <w:p w:rsidR="00977088" w:rsidRDefault="00977088" w:rsidP="00316172">
            <w:pPr>
              <w:ind w:right="-694"/>
              <w:jc w:val="both"/>
            </w:pPr>
          </w:p>
          <w:p w:rsidR="00FA1C82" w:rsidRDefault="00344D80" w:rsidP="00316172">
            <w:pPr>
              <w:ind w:right="-694"/>
              <w:jc w:val="both"/>
            </w:pPr>
            <w:r>
              <w:t>Iepirkumu speciāliste:</w:t>
            </w:r>
          </w:p>
        </w:tc>
        <w:tc>
          <w:tcPr>
            <w:tcW w:w="4680" w:type="dxa"/>
            <w:hideMark/>
          </w:tcPr>
          <w:p w:rsidR="001B1576" w:rsidRDefault="00977088">
            <w:pPr>
              <w:jc w:val="both"/>
            </w:pPr>
            <w:r>
              <w:t>Valērijs Bulāns</w:t>
            </w:r>
          </w:p>
          <w:p w:rsidR="00977088" w:rsidRDefault="00977088">
            <w:pPr>
              <w:jc w:val="both"/>
            </w:pPr>
            <w:r>
              <w:t>Everita Kāpa</w:t>
            </w:r>
          </w:p>
          <w:p w:rsidR="00E70C8F" w:rsidRDefault="00E70C8F">
            <w:pPr>
              <w:jc w:val="both"/>
            </w:pPr>
            <w:r>
              <w:t>Uģis Dambis</w:t>
            </w:r>
          </w:p>
          <w:p w:rsidR="00E70C8F" w:rsidRDefault="00E70C8F">
            <w:pPr>
              <w:jc w:val="both"/>
            </w:pPr>
            <w:r>
              <w:t>Artis Brūvers</w:t>
            </w:r>
          </w:p>
          <w:p w:rsidR="001B1576" w:rsidRDefault="006067B6">
            <w:pPr>
              <w:jc w:val="both"/>
            </w:pPr>
            <w:r>
              <w:t>Halfors Krasts</w:t>
            </w:r>
          </w:p>
          <w:p w:rsidR="00344D80" w:rsidRDefault="00344D80">
            <w:pPr>
              <w:jc w:val="both"/>
            </w:pPr>
            <w:r>
              <w:t>Linda Naļivaiko</w:t>
            </w:r>
          </w:p>
          <w:p w:rsidR="00D21CAD" w:rsidRDefault="00D21CAD" w:rsidP="008B64D1">
            <w:pPr>
              <w:jc w:val="both"/>
            </w:pP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FA1C82" w:rsidRPr="00CE4285" w:rsidRDefault="00FA1C82" w:rsidP="00FA1C82">
      <w:pPr>
        <w:ind w:left="709"/>
        <w:jc w:val="both"/>
        <w:rPr>
          <w:b/>
          <w:bCs/>
        </w:rPr>
      </w:pPr>
      <w:r w:rsidRPr="00CE4285">
        <w:t xml:space="preserve">Ādažu novada domes 2017.gada 22.augusta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CE4285">
          <w:t>lēmums</w:t>
        </w:r>
      </w:smartTag>
      <w:r w:rsidRPr="00CE4285">
        <w:t xml:space="preserve"> Nr. 194, Ādažu novada domes 2018.gada 13.aprīļa lēmums Nr. 72 un Ādažu novada domes 2018.gada 25.septembra lēmums Nr. 226.</w:t>
      </w: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C9700B" w:rsidP="00272811">
      <w:pPr>
        <w:tabs>
          <w:tab w:val="left" w:pos="993"/>
        </w:tabs>
        <w:ind w:left="709"/>
        <w:jc w:val="both"/>
        <w:rPr>
          <w:b/>
        </w:rPr>
      </w:pPr>
      <w:r>
        <w:t>Piedāvājumu vērtēšana a</w:t>
      </w:r>
      <w:r w:rsidR="002D44B4">
        <w:t>tklāt</w:t>
      </w:r>
      <w:r>
        <w:t>ā</w:t>
      </w:r>
      <w:r w:rsidR="002D44B4">
        <w:t xml:space="preserve"> konkurs</w:t>
      </w:r>
      <w:r>
        <w:t>ā</w:t>
      </w:r>
      <w:r w:rsidR="00272811">
        <w:t xml:space="preserve"> </w:t>
      </w:r>
      <w:r w:rsidR="00DC0EAB" w:rsidRPr="002F7B89">
        <w:t>„</w:t>
      </w:r>
      <w:r w:rsidR="00DC0EAB" w:rsidRPr="0028104C">
        <w:t>Atkārtots iepirkums - Sadzīves atkritumu apsaimniekošana Ādažu novadā</w:t>
      </w:r>
      <w:r w:rsidR="00DC0EAB">
        <w:t>” (</w:t>
      </w:r>
      <w:proofErr w:type="spellStart"/>
      <w:r w:rsidR="00DC0EAB">
        <w:t>ID.Nr</w:t>
      </w:r>
      <w:proofErr w:type="spellEnd"/>
      <w:r w:rsidR="00DC0EAB">
        <w:t>.: ĀND 2019/40</w:t>
      </w:r>
      <w:r w:rsidR="00DC0EAB" w:rsidRPr="002F7B89">
        <w:t>)</w:t>
      </w:r>
      <w:r w:rsidR="00272811">
        <w:t>.</w:t>
      </w: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662F4E" w:rsidRDefault="00DC0EAB" w:rsidP="00662F4E">
      <w:pPr>
        <w:numPr>
          <w:ilvl w:val="0"/>
          <w:numId w:val="6"/>
        </w:numPr>
        <w:ind w:right="43" w:hanging="720"/>
        <w:jc w:val="both"/>
      </w:pPr>
      <w:r>
        <w:t>V. Bulāns</w:t>
      </w:r>
      <w:r w:rsidR="004C4B6D">
        <w:t xml:space="preserve"> atgādina</w:t>
      </w:r>
      <w:r w:rsidR="00662F4E">
        <w:t xml:space="preserve">, </w:t>
      </w:r>
      <w:r w:rsidR="00662F4E" w:rsidRPr="005938A4">
        <w:t xml:space="preserve">ka noteiktajā </w:t>
      </w:r>
      <w:r w:rsidR="00007D9A">
        <w:t xml:space="preserve">piedāvājumu iesniegšanas </w:t>
      </w:r>
      <w:r w:rsidR="00662F4E" w:rsidRPr="005938A4">
        <w:t xml:space="preserve">termiņā </w:t>
      </w:r>
      <w:r w:rsidR="00662F4E">
        <w:t xml:space="preserve">EIS sistēmā </w:t>
      </w:r>
      <w:r w:rsidR="00662F4E" w:rsidRPr="005938A4">
        <w:t>piedāvājumu</w:t>
      </w:r>
      <w:r w:rsidR="001B36C9">
        <w:t>s</w:t>
      </w:r>
      <w:r w:rsidR="00662F4E">
        <w:t xml:space="preserve"> </w:t>
      </w:r>
      <w:r>
        <w:t>iesniedza 2</w:t>
      </w:r>
      <w:r w:rsidR="00007D9A">
        <w:t xml:space="preserve"> pretendenti.</w:t>
      </w:r>
    </w:p>
    <w:p w:rsidR="001B36C9" w:rsidRDefault="001B36C9" w:rsidP="001B36C9">
      <w:pPr>
        <w:ind w:left="720" w:right="43"/>
        <w:jc w:val="both"/>
      </w:pPr>
      <w:r>
        <w:t>Piedāvātās cenas:</w:t>
      </w:r>
    </w:p>
    <w:p w:rsidR="001B36C9" w:rsidRDefault="001B36C9" w:rsidP="001B36C9">
      <w:pPr>
        <w:ind w:left="720" w:right="43"/>
        <w:jc w:val="both"/>
      </w:pPr>
    </w:p>
    <w:tbl>
      <w:tblPr>
        <w:tblStyle w:val="Reatabula"/>
        <w:tblW w:w="4400" w:type="pct"/>
        <w:tblInd w:w="7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18"/>
        <w:gridCol w:w="1643"/>
        <w:gridCol w:w="1600"/>
      </w:tblGrid>
      <w:tr w:rsidR="00007D9A" w:rsidRPr="00140949" w:rsidTr="00873E9C">
        <w:trPr>
          <w:trHeight w:val="625"/>
        </w:trPr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2D69B" w:themeFill="accent3" w:themeFillTint="99"/>
            <w:vAlign w:val="center"/>
            <w:hideMark/>
          </w:tcPr>
          <w:p w:rsidR="00007D9A" w:rsidRPr="00140949" w:rsidRDefault="00007D9A" w:rsidP="00695DC3">
            <w:pPr>
              <w:jc w:val="center"/>
              <w:rPr>
                <w:b/>
                <w:bCs/>
                <w:sz w:val="22"/>
                <w:szCs w:val="22"/>
              </w:rPr>
            </w:pPr>
            <w:r w:rsidRPr="00140949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7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2D69B" w:themeFill="accent3" w:themeFillTint="99"/>
            <w:vAlign w:val="center"/>
            <w:hideMark/>
          </w:tcPr>
          <w:p w:rsidR="00007D9A" w:rsidRPr="00140949" w:rsidRDefault="00007D9A" w:rsidP="00695DC3">
            <w:pPr>
              <w:jc w:val="center"/>
              <w:rPr>
                <w:b/>
                <w:bCs/>
                <w:sz w:val="22"/>
                <w:szCs w:val="22"/>
              </w:rPr>
            </w:pPr>
            <w:r w:rsidRPr="00140949">
              <w:rPr>
                <w:b/>
                <w:bCs/>
                <w:sz w:val="22"/>
                <w:szCs w:val="22"/>
              </w:rPr>
              <w:t xml:space="preserve">Iesniegšanas </w:t>
            </w:r>
          </w:p>
          <w:p w:rsidR="00007D9A" w:rsidRPr="00140949" w:rsidRDefault="00007D9A" w:rsidP="00695DC3">
            <w:pPr>
              <w:jc w:val="center"/>
              <w:rPr>
                <w:b/>
                <w:bCs/>
                <w:sz w:val="22"/>
                <w:szCs w:val="22"/>
              </w:rPr>
            </w:pPr>
            <w:r w:rsidRPr="00140949">
              <w:rPr>
                <w:b/>
                <w:bCs/>
                <w:sz w:val="22"/>
                <w:szCs w:val="22"/>
              </w:rPr>
              <w:t>datums un laiks</w:t>
            </w:r>
          </w:p>
        </w:tc>
        <w:tc>
          <w:tcPr>
            <w:tcW w:w="16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2D69B" w:themeFill="accent3" w:themeFillTint="99"/>
            <w:vAlign w:val="center"/>
            <w:hideMark/>
          </w:tcPr>
          <w:p w:rsidR="00007D9A" w:rsidRPr="00140949" w:rsidRDefault="00007D9A" w:rsidP="00695DC3">
            <w:pPr>
              <w:jc w:val="center"/>
              <w:rPr>
                <w:b/>
                <w:bCs/>
                <w:sz w:val="22"/>
                <w:szCs w:val="22"/>
              </w:rPr>
            </w:pPr>
            <w:r w:rsidRPr="00140949">
              <w:rPr>
                <w:b/>
                <w:bCs/>
                <w:sz w:val="22"/>
                <w:szCs w:val="22"/>
              </w:rPr>
              <w:t xml:space="preserve">Finanšu piedāvājums (ar šķir. </w:t>
            </w:r>
            <w:proofErr w:type="spellStart"/>
            <w:r w:rsidRPr="00140949">
              <w:rPr>
                <w:b/>
                <w:bCs/>
                <w:sz w:val="22"/>
                <w:szCs w:val="22"/>
              </w:rPr>
              <w:t>atkr</w:t>
            </w:r>
            <w:proofErr w:type="spellEnd"/>
            <w:r w:rsidRPr="00140949">
              <w:rPr>
                <w:b/>
                <w:bCs/>
                <w:sz w:val="22"/>
                <w:szCs w:val="22"/>
              </w:rPr>
              <w:t>. laukumu)</w:t>
            </w:r>
          </w:p>
        </w:tc>
        <w:tc>
          <w:tcPr>
            <w:tcW w:w="16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2D69B" w:themeFill="accent3" w:themeFillTint="99"/>
            <w:vAlign w:val="center"/>
            <w:hideMark/>
          </w:tcPr>
          <w:p w:rsidR="00007D9A" w:rsidRPr="00140949" w:rsidRDefault="00007D9A" w:rsidP="00695DC3">
            <w:pPr>
              <w:jc w:val="center"/>
              <w:rPr>
                <w:b/>
                <w:bCs/>
                <w:sz w:val="22"/>
                <w:szCs w:val="22"/>
              </w:rPr>
            </w:pPr>
            <w:r w:rsidRPr="00140949">
              <w:rPr>
                <w:b/>
                <w:bCs/>
                <w:sz w:val="22"/>
                <w:szCs w:val="22"/>
              </w:rPr>
              <w:t xml:space="preserve">Finanšu piedāvājums (bez šķir. </w:t>
            </w:r>
            <w:proofErr w:type="spellStart"/>
            <w:r w:rsidRPr="00140949">
              <w:rPr>
                <w:b/>
                <w:bCs/>
                <w:sz w:val="22"/>
                <w:szCs w:val="22"/>
              </w:rPr>
              <w:t>atkr</w:t>
            </w:r>
            <w:proofErr w:type="spellEnd"/>
            <w:r w:rsidRPr="00140949">
              <w:rPr>
                <w:b/>
                <w:bCs/>
                <w:sz w:val="22"/>
                <w:szCs w:val="22"/>
              </w:rPr>
              <w:t>. laukuma)</w:t>
            </w:r>
          </w:p>
        </w:tc>
      </w:tr>
      <w:tr w:rsidR="00007D9A" w:rsidRPr="00140949" w:rsidTr="00873E9C">
        <w:trPr>
          <w:trHeight w:val="505"/>
        </w:trPr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07D9A" w:rsidRPr="00140949" w:rsidRDefault="00007D9A" w:rsidP="00695DC3">
            <w:pPr>
              <w:spacing w:before="60" w:after="60"/>
              <w:rPr>
                <w:bCs/>
                <w:sz w:val="22"/>
                <w:szCs w:val="22"/>
              </w:rPr>
            </w:pPr>
            <w:r w:rsidRPr="00140949">
              <w:rPr>
                <w:bCs/>
                <w:sz w:val="22"/>
                <w:szCs w:val="22"/>
              </w:rPr>
              <w:t>"</w:t>
            </w:r>
            <w:proofErr w:type="spellStart"/>
            <w:r w:rsidRPr="00140949">
              <w:rPr>
                <w:bCs/>
                <w:sz w:val="22"/>
                <w:szCs w:val="22"/>
              </w:rPr>
              <w:t>Clean</w:t>
            </w:r>
            <w:proofErr w:type="spellEnd"/>
            <w:r w:rsidRPr="00140949">
              <w:rPr>
                <w:bCs/>
                <w:sz w:val="22"/>
                <w:szCs w:val="22"/>
              </w:rPr>
              <w:t xml:space="preserve"> R" SIA</w:t>
            </w:r>
          </w:p>
        </w:tc>
        <w:tc>
          <w:tcPr>
            <w:tcW w:w="17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07D9A" w:rsidRPr="00140949" w:rsidRDefault="00DC0EAB" w:rsidP="00695DC3">
            <w:pPr>
              <w:spacing w:before="60" w:after="60"/>
              <w:rPr>
                <w:bCs/>
                <w:sz w:val="22"/>
                <w:szCs w:val="22"/>
              </w:rPr>
            </w:pPr>
            <w:r w:rsidRPr="00140949">
              <w:rPr>
                <w:sz w:val="22"/>
                <w:szCs w:val="22"/>
              </w:rPr>
              <w:t>25.04.2019 plkst. 16:17</w:t>
            </w:r>
          </w:p>
        </w:tc>
        <w:tc>
          <w:tcPr>
            <w:tcW w:w="16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DC0EAB" w:rsidRPr="00140949" w:rsidRDefault="00DC0EAB" w:rsidP="00DC0EAB">
            <w:pPr>
              <w:rPr>
                <w:sz w:val="22"/>
                <w:szCs w:val="22"/>
              </w:rPr>
            </w:pPr>
            <w:r w:rsidRPr="00140949">
              <w:rPr>
                <w:sz w:val="22"/>
                <w:szCs w:val="22"/>
              </w:rPr>
              <w:t>EIRO 16.87</w:t>
            </w:r>
          </w:p>
          <w:p w:rsidR="00007D9A" w:rsidRPr="00140949" w:rsidRDefault="00007D9A" w:rsidP="00695DC3">
            <w:pPr>
              <w:spacing w:before="60"/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DC0EAB" w:rsidRPr="00140949" w:rsidRDefault="00DC0EAB" w:rsidP="00DC0EAB">
            <w:pPr>
              <w:rPr>
                <w:sz w:val="22"/>
                <w:szCs w:val="22"/>
              </w:rPr>
            </w:pPr>
            <w:r w:rsidRPr="00140949">
              <w:rPr>
                <w:sz w:val="22"/>
                <w:szCs w:val="22"/>
              </w:rPr>
              <w:t>EIRO 15.92</w:t>
            </w:r>
          </w:p>
          <w:p w:rsidR="00007D9A" w:rsidRPr="00140949" w:rsidRDefault="00007D9A" w:rsidP="00695DC3">
            <w:pPr>
              <w:spacing w:before="60"/>
              <w:rPr>
                <w:bCs/>
                <w:sz w:val="22"/>
                <w:szCs w:val="22"/>
              </w:rPr>
            </w:pPr>
          </w:p>
        </w:tc>
      </w:tr>
      <w:tr w:rsidR="00007D9A" w:rsidRPr="00140949" w:rsidTr="00873E9C">
        <w:trPr>
          <w:trHeight w:val="505"/>
        </w:trPr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07D9A" w:rsidRPr="00140949" w:rsidRDefault="00007D9A" w:rsidP="00695DC3">
            <w:pPr>
              <w:spacing w:before="60" w:after="60"/>
              <w:rPr>
                <w:bCs/>
                <w:sz w:val="22"/>
                <w:szCs w:val="22"/>
              </w:rPr>
            </w:pPr>
            <w:r w:rsidRPr="00140949">
              <w:rPr>
                <w:bCs/>
                <w:sz w:val="22"/>
                <w:szCs w:val="22"/>
              </w:rPr>
              <w:t xml:space="preserve">"Eco </w:t>
            </w:r>
            <w:proofErr w:type="spellStart"/>
            <w:r w:rsidRPr="00140949">
              <w:rPr>
                <w:bCs/>
                <w:sz w:val="22"/>
                <w:szCs w:val="22"/>
              </w:rPr>
              <w:t>Baltia</w:t>
            </w:r>
            <w:proofErr w:type="spellEnd"/>
            <w:r w:rsidRPr="00140949">
              <w:rPr>
                <w:bCs/>
                <w:sz w:val="22"/>
                <w:szCs w:val="22"/>
              </w:rPr>
              <w:t xml:space="preserve"> vide" SIA</w:t>
            </w:r>
          </w:p>
        </w:tc>
        <w:tc>
          <w:tcPr>
            <w:tcW w:w="17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07D9A" w:rsidRPr="00140949" w:rsidRDefault="00DC0EAB" w:rsidP="00695DC3">
            <w:pPr>
              <w:spacing w:before="60" w:after="60"/>
              <w:rPr>
                <w:bCs/>
                <w:sz w:val="22"/>
                <w:szCs w:val="22"/>
              </w:rPr>
            </w:pPr>
            <w:r w:rsidRPr="00140949">
              <w:rPr>
                <w:sz w:val="22"/>
                <w:szCs w:val="22"/>
              </w:rPr>
              <w:t>25.04.2019 plkst. 21:51</w:t>
            </w:r>
          </w:p>
        </w:tc>
        <w:tc>
          <w:tcPr>
            <w:tcW w:w="16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DC0EAB" w:rsidRPr="00140949" w:rsidRDefault="00DC0EAB" w:rsidP="00DC0EAB">
            <w:pPr>
              <w:rPr>
                <w:sz w:val="22"/>
                <w:szCs w:val="22"/>
              </w:rPr>
            </w:pPr>
            <w:r w:rsidRPr="00140949">
              <w:rPr>
                <w:sz w:val="22"/>
                <w:szCs w:val="22"/>
              </w:rPr>
              <w:t>EIRO 14.67</w:t>
            </w:r>
          </w:p>
          <w:p w:rsidR="00007D9A" w:rsidRPr="00140949" w:rsidRDefault="00007D9A" w:rsidP="00695DC3">
            <w:pPr>
              <w:spacing w:before="60"/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DC0EAB" w:rsidRPr="00140949" w:rsidRDefault="00DC0EAB" w:rsidP="00DC0EAB">
            <w:pPr>
              <w:rPr>
                <w:sz w:val="22"/>
                <w:szCs w:val="22"/>
              </w:rPr>
            </w:pPr>
            <w:r w:rsidRPr="00140949">
              <w:rPr>
                <w:sz w:val="22"/>
                <w:szCs w:val="22"/>
              </w:rPr>
              <w:t>EIRO 13.92</w:t>
            </w:r>
          </w:p>
          <w:p w:rsidR="00007D9A" w:rsidRPr="00140949" w:rsidRDefault="00007D9A" w:rsidP="00695DC3">
            <w:pPr>
              <w:spacing w:before="60"/>
              <w:rPr>
                <w:bCs/>
                <w:sz w:val="22"/>
                <w:szCs w:val="22"/>
              </w:rPr>
            </w:pPr>
          </w:p>
        </w:tc>
      </w:tr>
    </w:tbl>
    <w:p w:rsidR="00662F4E" w:rsidRDefault="00662F4E" w:rsidP="00662F4E">
      <w:pPr>
        <w:ind w:left="720" w:right="43"/>
        <w:jc w:val="both"/>
      </w:pPr>
    </w:p>
    <w:p w:rsidR="00662F4E" w:rsidRDefault="009E6C17" w:rsidP="00662F4E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>V. Bulāns atgādina, ka 2019.gada 3.maija sēdē (Prot. Nr. 05-30-2019/40-4) Komisija pārbaudīja</w:t>
      </w:r>
      <w:r w:rsidR="00662F4E">
        <w:t xml:space="preserve"> </w:t>
      </w:r>
      <w:r w:rsidR="00140949">
        <w:t>abu</w:t>
      </w:r>
      <w:r w:rsidR="00873E9C">
        <w:t xml:space="preserve"> iesniegto pretendentu</w:t>
      </w:r>
      <w:r w:rsidR="004052D3">
        <w:t xml:space="preserve"> </w:t>
      </w:r>
      <w:r w:rsidR="000931AE">
        <w:t>piedāvājumu</w:t>
      </w:r>
      <w:r w:rsidR="00662F4E">
        <w:t xml:space="preserve"> noformējuma atbilstību n</w:t>
      </w:r>
      <w:r w:rsidR="00873E9C">
        <w:t>ol</w:t>
      </w:r>
      <w:r>
        <w:t>ikuma prasībām, secināja</w:t>
      </w:r>
      <w:r w:rsidR="00140949">
        <w:t xml:space="preserve">, ka abi </w:t>
      </w:r>
      <w:r w:rsidR="00873E9C">
        <w:t>piedāvājumi</w:t>
      </w:r>
      <w:r w:rsidR="000931AE">
        <w:t xml:space="preserve"> ir atbilstoši</w:t>
      </w:r>
      <w:r w:rsidR="00662F4E">
        <w:t>.</w:t>
      </w:r>
    </w:p>
    <w:p w:rsidR="00662F4E" w:rsidRDefault="009E6C17" w:rsidP="00662F4E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 xml:space="preserve">V. Bulāns atgādina, ka 2019.gada 3.maija sēdē (Prot. Nr. 05-30-2019/40-4) Komisija pārbaudīja </w:t>
      </w:r>
      <w:r w:rsidR="00140949">
        <w:t>abu</w:t>
      </w:r>
      <w:r w:rsidR="006C37EA">
        <w:t xml:space="preserve"> pretendentu</w:t>
      </w:r>
      <w:r w:rsidR="00662F4E">
        <w:t xml:space="preserve"> </w:t>
      </w:r>
      <w:r w:rsidR="00715C29">
        <w:t>atlases</w:t>
      </w:r>
      <w:r>
        <w:t xml:space="preserve"> dokumentus un secināja</w:t>
      </w:r>
      <w:r w:rsidR="00662F4E">
        <w:t>, ka pretendent</w:t>
      </w:r>
      <w:r w:rsidR="006C37EA">
        <w:t>u</w:t>
      </w:r>
      <w:r w:rsidR="00662F4E">
        <w:t xml:space="preserve"> kvalifikācija atbilst nolikumā izvirzītajām prasībām.</w:t>
      </w:r>
    </w:p>
    <w:p w:rsidR="00662F4E" w:rsidRDefault="009E6C17" w:rsidP="00662F4E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>V. Bulān</w:t>
      </w:r>
      <w:r w:rsidR="00156376">
        <w:t>s atgādina, ka 2019.gada 3.maija sēdē</w:t>
      </w:r>
      <w:r>
        <w:t xml:space="preserve"> (Prot. Nr. 05-30-2019/40-4) </w:t>
      </w:r>
      <w:r w:rsidR="00662F4E">
        <w:t>Komi</w:t>
      </w:r>
      <w:r>
        <w:t>sija pārbaudīja</w:t>
      </w:r>
      <w:r w:rsidR="006C37EA">
        <w:t xml:space="preserve"> </w:t>
      </w:r>
      <w:r w:rsidR="00140949">
        <w:t>abu</w:t>
      </w:r>
      <w:r w:rsidR="000931AE">
        <w:t xml:space="preserve"> pretendentu </w:t>
      </w:r>
      <w:r w:rsidR="00662F4E">
        <w:t>tehnisk</w:t>
      </w:r>
      <w:r w:rsidR="006C37EA">
        <w:t>o</w:t>
      </w:r>
      <w:r w:rsidR="00662F4E">
        <w:t xml:space="preserve"> piedāvājum</w:t>
      </w:r>
      <w:r w:rsidR="006C37EA">
        <w:t>u</w:t>
      </w:r>
      <w:r w:rsidR="005C5023">
        <w:t xml:space="preserve"> dokumentus un </w:t>
      </w:r>
      <w:r w:rsidR="005C5023">
        <w:lastRenderedPageBreak/>
        <w:t>secināja</w:t>
      </w:r>
      <w:r w:rsidR="00662F4E">
        <w:t>, ka pretendent</w:t>
      </w:r>
      <w:r w:rsidR="006C37EA">
        <w:t>u</w:t>
      </w:r>
      <w:r w:rsidR="00662F4E">
        <w:t xml:space="preserve"> tehnisk</w:t>
      </w:r>
      <w:r w:rsidR="006C37EA">
        <w:t>ie</w:t>
      </w:r>
      <w:r w:rsidR="00662F4E">
        <w:t xml:space="preserve"> piedāvājum</w:t>
      </w:r>
      <w:r w:rsidR="006C37EA">
        <w:t>i</w:t>
      </w:r>
      <w:r w:rsidR="00662F4E">
        <w:t xml:space="preserve"> atbilst nolikumā izvirzītajām prasībām.</w:t>
      </w:r>
    </w:p>
    <w:p w:rsidR="00662F4E" w:rsidRDefault="005C5023" w:rsidP="00662F4E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>V. Bulān</w:t>
      </w:r>
      <w:r w:rsidR="00156376">
        <w:t>s atgādina, ka 2019.gada 3.maija sēdē</w:t>
      </w:r>
      <w:r>
        <w:t xml:space="preserve"> (Prot. Nr. 05-30-2019/40-4) Komisija pārbaudīja</w:t>
      </w:r>
      <w:r w:rsidR="00662F4E">
        <w:t xml:space="preserve"> </w:t>
      </w:r>
      <w:r w:rsidR="00140949">
        <w:t xml:space="preserve">abu </w:t>
      </w:r>
      <w:r w:rsidR="00B86CD0">
        <w:t xml:space="preserve">pretendentu </w:t>
      </w:r>
      <w:r w:rsidR="00662F4E">
        <w:t xml:space="preserve">finanšu </w:t>
      </w:r>
      <w:r>
        <w:t>piedāvājuma dokumentus un secināja</w:t>
      </w:r>
      <w:r w:rsidR="00662F4E">
        <w:t>, ka pretendent</w:t>
      </w:r>
      <w:r w:rsidR="006C37EA">
        <w:t>u</w:t>
      </w:r>
      <w:r w:rsidR="00662F4E">
        <w:t xml:space="preserve"> finanšu piedāvājum</w:t>
      </w:r>
      <w:r w:rsidR="006C37EA">
        <w:t>i</w:t>
      </w:r>
      <w:r w:rsidR="00662F4E">
        <w:t xml:space="preserve"> atbilst nolikumā izvirz</w:t>
      </w:r>
      <w:r>
        <w:t>ītajām prasībām. Komisija secināja</w:t>
      </w:r>
      <w:r w:rsidR="00662F4E">
        <w:t>, ka piedāvātā</w:t>
      </w:r>
      <w:r w:rsidR="006C37EA">
        <w:t>s</w:t>
      </w:r>
      <w:r w:rsidR="00662F4E">
        <w:t xml:space="preserve"> cena</w:t>
      </w:r>
      <w:r w:rsidR="006C37EA">
        <w:t>s</w:t>
      </w:r>
      <w:r w:rsidR="00662F4E">
        <w:t xml:space="preserve"> atbilst tirgus cenām, tā</w:t>
      </w:r>
      <w:r w:rsidR="006C37EA">
        <w:t>s</w:t>
      </w:r>
      <w:r w:rsidR="00662F4E">
        <w:t xml:space="preserve"> nav nepamatoti lēta</w:t>
      </w:r>
      <w:r w:rsidR="006C37EA">
        <w:t>s</w:t>
      </w:r>
      <w:r w:rsidR="00662F4E">
        <w:t xml:space="preserve"> vai sadārdzināta</w:t>
      </w:r>
      <w:r w:rsidR="006C37EA">
        <w:t>s</w:t>
      </w:r>
      <w:r w:rsidR="00662F4E">
        <w:t>. Komisija nekonstatē</w:t>
      </w:r>
      <w:r>
        <w:t>ja</w:t>
      </w:r>
      <w:r w:rsidR="00662F4E">
        <w:t xml:space="preserve"> piedāvājum</w:t>
      </w:r>
      <w:r w:rsidR="006C37EA">
        <w:t>os</w:t>
      </w:r>
      <w:r w:rsidR="00662F4E">
        <w:t xml:space="preserve"> aritmētiskās kļūdas.</w:t>
      </w:r>
    </w:p>
    <w:p w:rsidR="004427C6" w:rsidRDefault="00156376" w:rsidP="004427C6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 xml:space="preserve">V. Bulāns atgādina, ka 2019.gada 3.maija sēdē (Prot. Nr. 05-30-2019/40-4)  </w:t>
      </w:r>
      <w:r w:rsidR="005C5023">
        <w:t>Komisija turpināja</w:t>
      </w:r>
      <w:r w:rsidR="00DF7B77">
        <w:t xml:space="preserve"> vērtēt </w:t>
      </w:r>
      <w:r w:rsidR="00140949">
        <w:t>abu</w:t>
      </w:r>
      <w:r w:rsidR="00B72795">
        <w:t xml:space="preserve"> pretendentu iesniegtos piedāvājumus, ievērojot nolikuma 10.4. punktā noteikto kārtību.</w:t>
      </w:r>
    </w:p>
    <w:p w:rsidR="004427C6" w:rsidRDefault="00B72795" w:rsidP="00B72795">
      <w:pPr>
        <w:pStyle w:val="Sarakstarindkopa"/>
        <w:jc w:val="center"/>
        <w:rPr>
          <w:b/>
        </w:rPr>
      </w:pPr>
      <w:r w:rsidRPr="008C4C28">
        <w:rPr>
          <w:b/>
        </w:rPr>
        <w:t>Komisijas locekļu individuālo vērtējumu kopsavilkums</w:t>
      </w:r>
    </w:p>
    <w:p w:rsidR="00D02FA3" w:rsidRPr="005B76AC" w:rsidRDefault="004427C6" w:rsidP="005B76AC">
      <w:pPr>
        <w:pStyle w:val="Sarakstarindkopa"/>
        <w:jc w:val="center"/>
        <w:rPr>
          <w:b/>
        </w:rPr>
      </w:pPr>
      <w:r>
        <w:rPr>
          <w:b/>
        </w:rPr>
        <w:t>(</w:t>
      </w:r>
      <w:r w:rsidRPr="004427C6">
        <w:rPr>
          <w:b/>
          <w:u w:val="single"/>
        </w:rPr>
        <w:t xml:space="preserve">ar </w:t>
      </w:r>
      <w:proofErr w:type="spellStart"/>
      <w:r w:rsidRPr="004427C6">
        <w:rPr>
          <w:b/>
          <w:u w:val="single"/>
        </w:rPr>
        <w:t>Kadagas</w:t>
      </w:r>
      <w:proofErr w:type="spellEnd"/>
      <w:r w:rsidRPr="004427C6">
        <w:rPr>
          <w:b/>
          <w:u w:val="single"/>
        </w:rPr>
        <w:t xml:space="preserve"> šķirotā atkritumu pieņemšanas laukumu</w:t>
      </w:r>
      <w:r>
        <w:rPr>
          <w:b/>
        </w:rPr>
        <w:t>)</w:t>
      </w:r>
    </w:p>
    <w:tbl>
      <w:tblPr>
        <w:tblW w:w="1042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57"/>
        <w:gridCol w:w="3615"/>
        <w:gridCol w:w="1454"/>
        <w:gridCol w:w="1468"/>
        <w:gridCol w:w="1495"/>
      </w:tblGrid>
      <w:tr w:rsidR="001B311D" w:rsidRPr="0067500C" w:rsidTr="00B8092F">
        <w:trPr>
          <w:trHeight w:val="976"/>
        </w:trPr>
        <w:tc>
          <w:tcPr>
            <w:tcW w:w="537" w:type="dxa"/>
            <w:shd w:val="clear" w:color="auto" w:fill="EAF1DD" w:themeFill="accent3" w:themeFillTint="33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b/>
                <w:noProof/>
                <w:sz w:val="18"/>
                <w:szCs w:val="18"/>
              </w:rPr>
            </w:pP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Nr. (A)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Kritēriji</w:t>
            </w:r>
          </w:p>
        </w:tc>
        <w:tc>
          <w:tcPr>
            <w:tcW w:w="3615" w:type="dxa"/>
            <w:shd w:val="clear" w:color="auto" w:fill="EAF1DD" w:themeFill="accent3" w:themeFillTint="33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</w:p>
          <w:p w:rsidR="001B311D" w:rsidRPr="0067500C" w:rsidRDefault="001B311D" w:rsidP="00914223">
            <w:pPr>
              <w:jc w:val="center"/>
              <w:rPr>
                <w:b/>
                <w:sz w:val="18"/>
                <w:szCs w:val="18"/>
              </w:rPr>
            </w:pPr>
            <w:r w:rsidRPr="0067500C">
              <w:rPr>
                <w:b/>
                <w:sz w:val="18"/>
                <w:szCs w:val="18"/>
              </w:rPr>
              <w:t>Punktu sadalījums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Maksimālais iegūstamais punktu skaits (maksimālā skaitliskā vērtība)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:rsidR="001B311D" w:rsidRPr="0067500C" w:rsidRDefault="001B311D" w:rsidP="00B8092F">
            <w:pPr>
              <w:tabs>
                <w:tab w:val="left" w:pos="567"/>
              </w:tabs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67500C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67500C">
              <w:rPr>
                <w:b/>
                <w:bCs/>
                <w:sz w:val="18"/>
                <w:szCs w:val="18"/>
              </w:rPr>
              <w:t>Clean</w:t>
            </w:r>
            <w:proofErr w:type="spellEnd"/>
            <w:r w:rsidRPr="0067500C">
              <w:rPr>
                <w:b/>
                <w:bCs/>
                <w:sz w:val="18"/>
                <w:szCs w:val="18"/>
              </w:rPr>
              <w:t xml:space="preserve"> R" SIA</w:t>
            </w:r>
          </w:p>
          <w:p w:rsidR="001B311D" w:rsidRPr="0067500C" w:rsidRDefault="001B311D" w:rsidP="00B8092F">
            <w:pPr>
              <w:tabs>
                <w:tab w:val="left" w:pos="567"/>
              </w:tabs>
              <w:ind w:right="-6"/>
              <w:jc w:val="center"/>
              <w:rPr>
                <w:b/>
                <w:bCs/>
                <w:sz w:val="18"/>
                <w:szCs w:val="18"/>
              </w:rPr>
            </w:pPr>
          </w:p>
          <w:p w:rsidR="00B8092F" w:rsidRPr="0067500C" w:rsidRDefault="00B8092F" w:rsidP="00B8092F">
            <w:pPr>
              <w:jc w:val="center"/>
              <w:rPr>
                <w:b/>
                <w:sz w:val="18"/>
                <w:szCs w:val="18"/>
              </w:rPr>
            </w:pPr>
          </w:p>
          <w:p w:rsidR="001B311D" w:rsidRPr="0067500C" w:rsidRDefault="001B311D" w:rsidP="00B8092F">
            <w:pPr>
              <w:jc w:val="center"/>
              <w:rPr>
                <w:b/>
                <w:sz w:val="18"/>
                <w:szCs w:val="18"/>
              </w:rPr>
            </w:pPr>
            <w:r w:rsidRPr="0067500C">
              <w:rPr>
                <w:b/>
                <w:sz w:val="18"/>
                <w:szCs w:val="18"/>
              </w:rPr>
              <w:t>EIRO 16.87</w:t>
            </w:r>
          </w:p>
          <w:p w:rsidR="001B311D" w:rsidRPr="0067500C" w:rsidRDefault="001B311D" w:rsidP="00B8092F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EAF1DD" w:themeFill="accent3" w:themeFillTint="33"/>
          </w:tcPr>
          <w:p w:rsidR="001B311D" w:rsidRPr="0067500C" w:rsidRDefault="001B311D" w:rsidP="00B8092F">
            <w:pPr>
              <w:tabs>
                <w:tab w:val="left" w:pos="567"/>
              </w:tabs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67500C">
              <w:rPr>
                <w:b/>
                <w:bCs/>
                <w:sz w:val="18"/>
                <w:szCs w:val="18"/>
              </w:rPr>
              <w:t xml:space="preserve">"Eco </w:t>
            </w:r>
            <w:proofErr w:type="spellStart"/>
            <w:r w:rsidRPr="0067500C">
              <w:rPr>
                <w:b/>
                <w:bCs/>
                <w:sz w:val="18"/>
                <w:szCs w:val="18"/>
              </w:rPr>
              <w:t>Baltia</w:t>
            </w:r>
            <w:proofErr w:type="spellEnd"/>
            <w:r w:rsidRPr="0067500C">
              <w:rPr>
                <w:b/>
                <w:bCs/>
                <w:sz w:val="18"/>
                <w:szCs w:val="18"/>
              </w:rPr>
              <w:t xml:space="preserve"> vide" SIA</w:t>
            </w:r>
          </w:p>
          <w:p w:rsidR="001B311D" w:rsidRPr="0067500C" w:rsidRDefault="001B311D" w:rsidP="00B8092F">
            <w:pPr>
              <w:tabs>
                <w:tab w:val="left" w:pos="567"/>
              </w:tabs>
              <w:ind w:right="-6"/>
              <w:jc w:val="center"/>
              <w:rPr>
                <w:b/>
                <w:bCs/>
                <w:sz w:val="18"/>
                <w:szCs w:val="18"/>
              </w:rPr>
            </w:pPr>
          </w:p>
          <w:p w:rsidR="00693823" w:rsidRPr="0067500C" w:rsidRDefault="00693823" w:rsidP="00B8092F">
            <w:pPr>
              <w:jc w:val="center"/>
              <w:rPr>
                <w:b/>
                <w:sz w:val="18"/>
                <w:szCs w:val="18"/>
              </w:rPr>
            </w:pPr>
          </w:p>
          <w:p w:rsidR="001B311D" w:rsidRPr="0067500C" w:rsidRDefault="001B311D" w:rsidP="00B8092F">
            <w:pPr>
              <w:jc w:val="center"/>
              <w:rPr>
                <w:b/>
                <w:sz w:val="18"/>
                <w:szCs w:val="18"/>
              </w:rPr>
            </w:pPr>
            <w:r w:rsidRPr="0067500C">
              <w:rPr>
                <w:b/>
                <w:sz w:val="18"/>
                <w:szCs w:val="18"/>
              </w:rPr>
              <w:t>EIRO 14.67</w:t>
            </w:r>
          </w:p>
          <w:p w:rsidR="001B311D" w:rsidRPr="0067500C" w:rsidRDefault="001B311D" w:rsidP="00B8092F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1B311D" w:rsidRPr="0067500C" w:rsidTr="00693823">
        <w:tc>
          <w:tcPr>
            <w:tcW w:w="53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1.</w:t>
            </w:r>
          </w:p>
        </w:tc>
        <w:tc>
          <w:tcPr>
            <w:tcW w:w="185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 xml:space="preserve">1 m3 sadzīves atkritumu apsaimniekošanas vidējā </w:t>
            </w:r>
            <w:r w:rsidRPr="0067500C">
              <w:rPr>
                <w:sz w:val="18"/>
                <w:szCs w:val="18"/>
                <w:lang w:eastAsia="lv-LV"/>
              </w:rPr>
              <w:t>tarifa cena</w:t>
            </w:r>
            <w:r w:rsidRPr="0067500C">
              <w:rPr>
                <w:b/>
                <w:sz w:val="18"/>
                <w:szCs w:val="18"/>
                <w:lang w:eastAsia="lv-LV"/>
              </w:rPr>
              <w:t xml:space="preserve"> </w:t>
            </w:r>
            <w:r w:rsidRPr="0067500C">
              <w:rPr>
                <w:noProof/>
                <w:sz w:val="18"/>
                <w:szCs w:val="18"/>
              </w:rPr>
              <w:t>7 gadu periodā</w:t>
            </w:r>
            <w:r w:rsidRPr="0067500C">
              <w:rPr>
                <w:b/>
                <w:noProof/>
                <w:sz w:val="18"/>
                <w:szCs w:val="18"/>
              </w:rPr>
              <w:t>*</w:t>
            </w:r>
          </w:p>
        </w:tc>
        <w:tc>
          <w:tcPr>
            <w:tcW w:w="3615" w:type="dxa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Pretendenta piedāvājums ar zemāko piedāvāto vienības tarifa cenu (EUR bez PVN) tiek vērtēts ar maksimāli iespējamo punktu skaitu – 60</w:t>
            </w:r>
            <w:r w:rsidRPr="0067500C">
              <w:rPr>
                <w:b/>
                <w:noProof/>
                <w:sz w:val="18"/>
                <w:szCs w:val="18"/>
              </w:rPr>
              <w:t xml:space="preserve"> punktiem</w:t>
            </w:r>
            <w:r w:rsidRPr="0067500C">
              <w:rPr>
                <w:noProof/>
                <w:sz w:val="18"/>
                <w:szCs w:val="18"/>
              </w:rPr>
              <w:t xml:space="preserve">. 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 xml:space="preserve">Punkti pārējo pretendentu piedāvājumiem tiek aprēķināti pēc šādas formulas: 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Apret. = Cmin./Cpret.x 60, kur: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Apret. – vērtējamā pretendenta iegūtais punktu skaits par tā piedāvāto vienības līgumcenu;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Cmin. – lētākā piedāvātā vienības līgumcena, EUR bez PVN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Cpret. – vērtējamā pretendenta piedāvātā vienības līgumcena, EUR bez PVN.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60</w:t>
            </w:r>
          </w:p>
        </w:tc>
        <w:tc>
          <w:tcPr>
            <w:tcW w:w="1468" w:type="dxa"/>
            <w:vAlign w:val="center"/>
          </w:tcPr>
          <w:p w:rsidR="001B311D" w:rsidRPr="0067500C" w:rsidRDefault="00693823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52.18</w:t>
            </w:r>
          </w:p>
        </w:tc>
        <w:tc>
          <w:tcPr>
            <w:tcW w:w="1495" w:type="dxa"/>
            <w:vAlign w:val="center"/>
          </w:tcPr>
          <w:p w:rsidR="001B311D" w:rsidRPr="0067500C" w:rsidRDefault="00693823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60</w:t>
            </w:r>
          </w:p>
        </w:tc>
      </w:tr>
      <w:tr w:rsidR="001B311D" w:rsidRPr="0067500C" w:rsidTr="00693823">
        <w:tc>
          <w:tcPr>
            <w:tcW w:w="53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108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2.</w:t>
            </w:r>
          </w:p>
        </w:tc>
        <w:tc>
          <w:tcPr>
            <w:tcW w:w="185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Specializētās tehnikas nodrošinājums pakalpojuma sniegšanai</w:t>
            </w:r>
          </w:p>
        </w:tc>
        <w:tc>
          <w:tcPr>
            <w:tcW w:w="3615" w:type="dxa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Max punktu skaits  15 – 4  vai vairāk Pretendenta īpašumā vai valdījumā esošo transporta līdzekļu, kas tiks izmantoti pakalpojuma sniegšanai Pasūtītājam, atbilst ne mazāk kā “EURO VI drošs” standartam;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bCs/>
                <w:noProof/>
                <w:sz w:val="18"/>
                <w:szCs w:val="18"/>
              </w:rPr>
            </w:pPr>
            <w:r w:rsidRPr="0067500C">
              <w:rPr>
                <w:bCs/>
                <w:noProof/>
                <w:sz w:val="18"/>
                <w:szCs w:val="18"/>
              </w:rPr>
              <w:t xml:space="preserve">Punktu skaits 11 –3 Pretendenta īpašumā vai valdījumā </w:t>
            </w:r>
            <w:r w:rsidRPr="0067500C">
              <w:rPr>
                <w:noProof/>
                <w:sz w:val="18"/>
                <w:szCs w:val="18"/>
              </w:rPr>
              <w:t>esošo transporta līdzekļu, kas tiks izmantoti pakalpojuma sniegšanai Pasūtītājam, atbilst ne mazāk kā “EURO VI drošs” standartam</w:t>
            </w:r>
            <w:r w:rsidRPr="0067500C">
              <w:rPr>
                <w:bCs/>
                <w:noProof/>
                <w:sz w:val="18"/>
                <w:szCs w:val="18"/>
              </w:rPr>
              <w:t xml:space="preserve">; 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bCs/>
                <w:noProof/>
                <w:sz w:val="18"/>
                <w:szCs w:val="18"/>
              </w:rPr>
            </w:pPr>
            <w:r w:rsidRPr="0067500C">
              <w:rPr>
                <w:bCs/>
                <w:noProof/>
                <w:sz w:val="18"/>
                <w:szCs w:val="18"/>
              </w:rPr>
              <w:t xml:space="preserve">Punktu skaits 7 – 2 Pretendenta īpašumā vai valdījumā </w:t>
            </w:r>
            <w:r w:rsidRPr="0067500C">
              <w:rPr>
                <w:noProof/>
                <w:sz w:val="18"/>
                <w:szCs w:val="18"/>
              </w:rPr>
              <w:t>esošo transporta līdzekļu, kas tiks izmantoti pakalpojuma sniegšanai Pasūtītājam, atbilst ne  mazāk kā “EURO VI drošs” standartam</w:t>
            </w:r>
            <w:r w:rsidRPr="0067500C">
              <w:rPr>
                <w:bCs/>
                <w:noProof/>
                <w:sz w:val="18"/>
                <w:szCs w:val="18"/>
              </w:rPr>
              <w:t xml:space="preserve">; 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bCs/>
                <w:noProof/>
                <w:sz w:val="18"/>
                <w:szCs w:val="18"/>
              </w:rPr>
            </w:pPr>
            <w:r w:rsidRPr="0067500C">
              <w:rPr>
                <w:bCs/>
                <w:noProof/>
                <w:sz w:val="18"/>
                <w:szCs w:val="18"/>
              </w:rPr>
              <w:t>Punktu skaits 3 – Pretendenta īpašumā vai valdījumā ir vismaz 1 transporta līdzeklis, kas tiks izmantos pakalpojuma sniegšanai Pasūtītājam, kas atbilst ne mazāk kā “EURO VI drošs” standartam.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bCs/>
                <w:noProof/>
                <w:sz w:val="18"/>
                <w:szCs w:val="18"/>
              </w:rPr>
            </w:pPr>
            <w:r w:rsidRPr="0067500C">
              <w:rPr>
                <w:bCs/>
                <w:noProof/>
                <w:sz w:val="18"/>
                <w:szCs w:val="18"/>
              </w:rPr>
              <w:t>Punktu skaits 0 – Pretendenta īpašumā vai valdījumā nav transporta līdzeklis, kas tiks izmantos pakalpojuma sniegšanai Pasūtītājam, kas atbilst “EURO VI drošs” standartam.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468" w:type="dxa"/>
            <w:vAlign w:val="center"/>
          </w:tcPr>
          <w:p w:rsidR="001B311D" w:rsidRPr="0067500C" w:rsidRDefault="00693823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15</w:t>
            </w:r>
          </w:p>
        </w:tc>
        <w:tc>
          <w:tcPr>
            <w:tcW w:w="1495" w:type="dxa"/>
            <w:vAlign w:val="center"/>
          </w:tcPr>
          <w:p w:rsidR="001B311D" w:rsidRPr="0067500C" w:rsidRDefault="006E2BC4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11</w:t>
            </w:r>
          </w:p>
        </w:tc>
      </w:tr>
      <w:tr w:rsidR="001B311D" w:rsidRPr="0067500C" w:rsidTr="00693823">
        <w:tc>
          <w:tcPr>
            <w:tcW w:w="53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3.</w:t>
            </w:r>
          </w:p>
        </w:tc>
        <w:tc>
          <w:tcPr>
            <w:tcW w:w="185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1 trafarētā maisa cena</w:t>
            </w:r>
          </w:p>
        </w:tc>
        <w:tc>
          <w:tcPr>
            <w:tcW w:w="3615" w:type="dxa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 xml:space="preserve">Pretendenta piedāvājums ar zemāko piedāvāto vienības līgumcenu (EUR bez PVN) tiek vērtēts ar maksimāli iespējamo punktu skaitu – </w:t>
            </w:r>
            <w:r w:rsidRPr="0067500C">
              <w:rPr>
                <w:b/>
                <w:noProof/>
                <w:sz w:val="18"/>
                <w:szCs w:val="18"/>
              </w:rPr>
              <w:t>10 punktiem</w:t>
            </w:r>
            <w:r w:rsidRPr="0067500C">
              <w:rPr>
                <w:noProof/>
                <w:sz w:val="18"/>
                <w:szCs w:val="18"/>
              </w:rPr>
              <w:t xml:space="preserve">. 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lastRenderedPageBreak/>
              <w:t xml:space="preserve">Punkti pārējo pretendentu piedāvājumiem tiek aprēķināti pēc sekojošas formulas: 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Apret. = Cmin./Cpret.x 10, kur: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Apret. – vērtējamā pretendenta iegūtais punktu skaits par tā piedāvāto vienības līgumcenu;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Cmin. – lētākā piedāvātā vienības līgumcena, EUR bez PVN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Cpret. – vērtējamā pretendenta piedāvātā vienības līgumcena, EUR bez PVN.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lastRenderedPageBreak/>
              <w:t>10</w:t>
            </w:r>
          </w:p>
        </w:tc>
        <w:tc>
          <w:tcPr>
            <w:tcW w:w="1468" w:type="dxa"/>
            <w:vAlign w:val="center"/>
          </w:tcPr>
          <w:p w:rsidR="001B311D" w:rsidRPr="0067500C" w:rsidRDefault="00693823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8.77</w:t>
            </w:r>
          </w:p>
        </w:tc>
        <w:tc>
          <w:tcPr>
            <w:tcW w:w="1495" w:type="dxa"/>
            <w:vAlign w:val="center"/>
          </w:tcPr>
          <w:p w:rsidR="001B311D" w:rsidRPr="0067500C" w:rsidRDefault="00F4067C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10</w:t>
            </w:r>
          </w:p>
        </w:tc>
      </w:tr>
      <w:tr w:rsidR="001B311D" w:rsidRPr="0067500C" w:rsidTr="00693823">
        <w:tc>
          <w:tcPr>
            <w:tcW w:w="53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4.</w:t>
            </w:r>
          </w:p>
        </w:tc>
        <w:tc>
          <w:tcPr>
            <w:tcW w:w="185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Elektroniskie pakalpojumi (līguma parakstīšana)</w:t>
            </w:r>
          </w:p>
        </w:tc>
        <w:tc>
          <w:tcPr>
            <w:tcW w:w="3615" w:type="dxa"/>
            <w:shd w:val="clear" w:color="auto" w:fill="auto"/>
          </w:tcPr>
          <w:p w:rsidR="001B311D" w:rsidRPr="0067500C" w:rsidRDefault="001B311D" w:rsidP="00914223">
            <w:pPr>
              <w:pStyle w:val="TableParagraph"/>
              <w:ind w:left="110" w:right="89"/>
              <w:jc w:val="both"/>
              <w:rPr>
                <w:sz w:val="18"/>
                <w:szCs w:val="18"/>
              </w:rPr>
            </w:pPr>
            <w:r w:rsidRPr="0067500C">
              <w:rPr>
                <w:sz w:val="18"/>
                <w:szCs w:val="18"/>
              </w:rPr>
              <w:t>Klientiem būs iespēja noslēgt atkritumu apsaimniekošanas līgumu elektroniski (aizpildot līgumu mājaslapā) vai attālināti (rakstot uz e-pastu vai zvanot):</w:t>
            </w:r>
          </w:p>
          <w:p w:rsidR="001B311D" w:rsidRPr="0067500C" w:rsidRDefault="001B311D" w:rsidP="001B311D">
            <w:pPr>
              <w:pStyle w:val="TableParagraph"/>
              <w:numPr>
                <w:ilvl w:val="0"/>
                <w:numId w:val="7"/>
              </w:numPr>
              <w:ind w:right="89"/>
              <w:jc w:val="both"/>
              <w:rPr>
                <w:rStyle w:val="Izclums"/>
                <w:i w:val="0"/>
                <w:sz w:val="18"/>
                <w:szCs w:val="18"/>
              </w:rPr>
            </w:pPr>
            <w:r w:rsidRPr="0067500C">
              <w:rPr>
                <w:rStyle w:val="Izclums"/>
                <w:sz w:val="18"/>
                <w:szCs w:val="18"/>
              </w:rPr>
              <w:t>visa līguma darbības laikā 10 punkti</w:t>
            </w:r>
          </w:p>
          <w:p w:rsidR="001B311D" w:rsidRPr="0067500C" w:rsidRDefault="001B311D" w:rsidP="001B311D">
            <w:pPr>
              <w:pStyle w:val="TableParagraph"/>
              <w:numPr>
                <w:ilvl w:val="0"/>
                <w:numId w:val="7"/>
              </w:numPr>
              <w:ind w:right="89"/>
              <w:jc w:val="both"/>
              <w:rPr>
                <w:sz w:val="18"/>
                <w:szCs w:val="18"/>
              </w:rPr>
            </w:pPr>
            <w:r w:rsidRPr="0067500C">
              <w:rPr>
                <w:sz w:val="18"/>
                <w:szCs w:val="18"/>
              </w:rPr>
              <w:t>Nav piedāvāts – 0 punkti.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468" w:type="dxa"/>
            <w:vAlign w:val="center"/>
          </w:tcPr>
          <w:p w:rsidR="001B311D" w:rsidRPr="0067500C" w:rsidRDefault="00693823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10</w:t>
            </w:r>
          </w:p>
        </w:tc>
        <w:tc>
          <w:tcPr>
            <w:tcW w:w="1495" w:type="dxa"/>
            <w:vAlign w:val="center"/>
          </w:tcPr>
          <w:p w:rsidR="001B311D" w:rsidRPr="0067500C" w:rsidRDefault="00F4067C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10</w:t>
            </w:r>
          </w:p>
        </w:tc>
      </w:tr>
      <w:tr w:rsidR="001B311D" w:rsidRPr="0067500C" w:rsidTr="00693823">
        <w:tc>
          <w:tcPr>
            <w:tcW w:w="53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5.</w:t>
            </w:r>
          </w:p>
        </w:tc>
        <w:tc>
          <w:tcPr>
            <w:tcW w:w="185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 xml:space="preserve">Elektroniskie pakalpojumi </w:t>
            </w:r>
          </w:p>
        </w:tc>
        <w:tc>
          <w:tcPr>
            <w:tcW w:w="3615" w:type="dxa"/>
          </w:tcPr>
          <w:p w:rsidR="001B311D" w:rsidRPr="0067500C" w:rsidRDefault="001B311D" w:rsidP="00914223">
            <w:pPr>
              <w:pStyle w:val="TableParagraph"/>
              <w:ind w:left="110" w:right="89"/>
              <w:jc w:val="both"/>
              <w:rPr>
                <w:sz w:val="18"/>
                <w:szCs w:val="18"/>
              </w:rPr>
            </w:pPr>
            <w:r w:rsidRPr="0067500C">
              <w:rPr>
                <w:sz w:val="18"/>
                <w:szCs w:val="18"/>
              </w:rPr>
              <w:t xml:space="preserve">Klientiem būs iespēja tiešsaistē pasūtīt papildus sadzīves atkritumu izvešanu, atkritumu izvešanu ar </w:t>
            </w:r>
            <w:proofErr w:type="spellStart"/>
            <w:r w:rsidRPr="0067500C">
              <w:rPr>
                <w:sz w:val="18"/>
                <w:szCs w:val="18"/>
              </w:rPr>
              <w:t>lielgabarīta</w:t>
            </w:r>
            <w:proofErr w:type="spellEnd"/>
            <w:r w:rsidRPr="0067500C">
              <w:rPr>
                <w:sz w:val="18"/>
                <w:szCs w:val="18"/>
              </w:rPr>
              <w:t xml:space="preserve"> konteineru un  mainīt sadzīves atkritumu izvešanas biežumu bez maksas vismaz vienreiz ceturksnī. </w:t>
            </w:r>
          </w:p>
          <w:p w:rsidR="001B311D" w:rsidRPr="0067500C" w:rsidRDefault="001B311D" w:rsidP="00914223">
            <w:pPr>
              <w:pStyle w:val="TableParagraph"/>
              <w:ind w:left="110" w:right="89"/>
              <w:jc w:val="both"/>
              <w:rPr>
                <w:rStyle w:val="Izclums"/>
                <w:i w:val="0"/>
                <w:sz w:val="18"/>
                <w:szCs w:val="18"/>
              </w:rPr>
            </w:pPr>
          </w:p>
          <w:p w:rsidR="001B311D" w:rsidRPr="0067500C" w:rsidRDefault="001B311D" w:rsidP="00526697">
            <w:pPr>
              <w:pStyle w:val="TableParagraph"/>
              <w:ind w:left="110" w:right="89"/>
              <w:jc w:val="both"/>
              <w:rPr>
                <w:sz w:val="18"/>
                <w:szCs w:val="18"/>
              </w:rPr>
            </w:pPr>
            <w:r w:rsidRPr="0067500C">
              <w:rPr>
                <w:sz w:val="18"/>
                <w:szCs w:val="18"/>
              </w:rPr>
              <w:t xml:space="preserve">Tiks nodrošināts šāds pakalpojums uz līguma noslēgšanas brīža– 5 punkti; Netiks piedāvāts – 0 punkti 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68" w:type="dxa"/>
            <w:vAlign w:val="center"/>
          </w:tcPr>
          <w:p w:rsidR="001B311D" w:rsidRPr="0067500C" w:rsidRDefault="00693823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1495" w:type="dxa"/>
            <w:vAlign w:val="center"/>
          </w:tcPr>
          <w:p w:rsidR="001B311D" w:rsidRPr="0067500C" w:rsidRDefault="00F4067C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5</w:t>
            </w:r>
          </w:p>
        </w:tc>
      </w:tr>
      <w:tr w:rsidR="001B311D" w:rsidRPr="0067500C" w:rsidTr="00693823">
        <w:tc>
          <w:tcPr>
            <w:tcW w:w="2394" w:type="dxa"/>
            <w:gridSpan w:val="2"/>
            <w:shd w:val="clear" w:color="auto" w:fill="auto"/>
          </w:tcPr>
          <w:p w:rsidR="001B311D" w:rsidRPr="0067500C" w:rsidRDefault="001B311D" w:rsidP="00693823">
            <w:pPr>
              <w:tabs>
                <w:tab w:val="left" w:pos="567"/>
              </w:tabs>
              <w:ind w:right="-6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15" w:type="dxa"/>
          </w:tcPr>
          <w:p w:rsidR="00693823" w:rsidRPr="0067500C" w:rsidRDefault="00693823" w:rsidP="00693823">
            <w:pPr>
              <w:tabs>
                <w:tab w:val="left" w:pos="567"/>
              </w:tabs>
              <w:ind w:right="-6"/>
              <w:jc w:val="right"/>
              <w:rPr>
                <w:b/>
                <w:noProof/>
                <w:sz w:val="18"/>
                <w:szCs w:val="18"/>
              </w:rPr>
            </w:pPr>
          </w:p>
          <w:p w:rsidR="001B311D" w:rsidRPr="0067500C" w:rsidRDefault="00693823" w:rsidP="00693823">
            <w:pPr>
              <w:tabs>
                <w:tab w:val="left" w:pos="567"/>
              </w:tabs>
              <w:ind w:right="-6"/>
              <w:jc w:val="right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Kopā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100</w:t>
            </w:r>
          </w:p>
        </w:tc>
        <w:tc>
          <w:tcPr>
            <w:tcW w:w="1468" w:type="dxa"/>
            <w:vAlign w:val="center"/>
          </w:tcPr>
          <w:p w:rsidR="00693823" w:rsidRPr="0067500C" w:rsidRDefault="00693823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</w:p>
          <w:p w:rsidR="001B311D" w:rsidRPr="0067500C" w:rsidRDefault="00693823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90.95</w:t>
            </w:r>
          </w:p>
          <w:p w:rsidR="00693823" w:rsidRPr="0067500C" w:rsidRDefault="00693823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1B311D" w:rsidRPr="0067500C" w:rsidRDefault="006E2BC4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96</w:t>
            </w:r>
          </w:p>
        </w:tc>
      </w:tr>
    </w:tbl>
    <w:p w:rsidR="00B4371C" w:rsidRDefault="00B4371C" w:rsidP="00B4371C">
      <w:pPr>
        <w:pStyle w:val="Sarakstarindkopa"/>
        <w:jc w:val="center"/>
        <w:rPr>
          <w:b/>
        </w:rPr>
      </w:pPr>
    </w:p>
    <w:p w:rsidR="00B4371C" w:rsidRDefault="00B4371C" w:rsidP="00B4371C">
      <w:pPr>
        <w:pStyle w:val="Sarakstarindkopa"/>
        <w:jc w:val="center"/>
        <w:rPr>
          <w:b/>
        </w:rPr>
      </w:pPr>
      <w:r w:rsidRPr="008C4C28">
        <w:rPr>
          <w:b/>
        </w:rPr>
        <w:t>Komisijas locekļu individuālo vērtējumu kopsavilkums</w:t>
      </w:r>
    </w:p>
    <w:p w:rsidR="00652893" w:rsidRPr="005B76AC" w:rsidRDefault="00B4371C" w:rsidP="005B76AC">
      <w:pPr>
        <w:pStyle w:val="Sarakstarindkopa"/>
        <w:jc w:val="center"/>
        <w:rPr>
          <w:b/>
        </w:rPr>
      </w:pPr>
      <w:r>
        <w:rPr>
          <w:b/>
        </w:rPr>
        <w:t>(</w:t>
      </w:r>
      <w:r>
        <w:rPr>
          <w:b/>
          <w:u w:val="single"/>
        </w:rPr>
        <w:t>bez</w:t>
      </w:r>
      <w:r w:rsidRPr="004427C6">
        <w:rPr>
          <w:b/>
          <w:u w:val="single"/>
        </w:rPr>
        <w:t xml:space="preserve"> </w:t>
      </w:r>
      <w:proofErr w:type="spellStart"/>
      <w:r w:rsidRPr="004427C6">
        <w:rPr>
          <w:b/>
          <w:u w:val="single"/>
        </w:rPr>
        <w:t>Kadagas</w:t>
      </w:r>
      <w:proofErr w:type="spellEnd"/>
      <w:r w:rsidRPr="004427C6">
        <w:rPr>
          <w:b/>
          <w:u w:val="single"/>
        </w:rPr>
        <w:t xml:space="preserve"> šķirotā atkritumu pieņemšanas laukumu</w:t>
      </w:r>
      <w:r>
        <w:rPr>
          <w:b/>
        </w:rPr>
        <w:t>)</w:t>
      </w:r>
    </w:p>
    <w:tbl>
      <w:tblPr>
        <w:tblW w:w="1042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57"/>
        <w:gridCol w:w="3615"/>
        <w:gridCol w:w="1454"/>
        <w:gridCol w:w="1468"/>
        <w:gridCol w:w="1495"/>
      </w:tblGrid>
      <w:tr w:rsidR="001B311D" w:rsidRPr="0067500C" w:rsidTr="00693823">
        <w:trPr>
          <w:trHeight w:val="976"/>
        </w:trPr>
        <w:tc>
          <w:tcPr>
            <w:tcW w:w="537" w:type="dxa"/>
            <w:shd w:val="clear" w:color="auto" w:fill="EAF1DD" w:themeFill="accent3" w:themeFillTint="33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b/>
                <w:noProof/>
                <w:sz w:val="18"/>
                <w:szCs w:val="18"/>
              </w:rPr>
            </w:pP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Nr. (A)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Kritēriji</w:t>
            </w:r>
          </w:p>
        </w:tc>
        <w:tc>
          <w:tcPr>
            <w:tcW w:w="3615" w:type="dxa"/>
            <w:shd w:val="clear" w:color="auto" w:fill="EAF1DD" w:themeFill="accent3" w:themeFillTint="33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</w:p>
          <w:p w:rsidR="001B311D" w:rsidRPr="0067500C" w:rsidRDefault="001B311D" w:rsidP="00914223">
            <w:pPr>
              <w:jc w:val="center"/>
              <w:rPr>
                <w:b/>
                <w:sz w:val="18"/>
                <w:szCs w:val="18"/>
              </w:rPr>
            </w:pPr>
            <w:r w:rsidRPr="0067500C">
              <w:rPr>
                <w:b/>
                <w:sz w:val="18"/>
                <w:szCs w:val="18"/>
              </w:rPr>
              <w:t>Punktu sadalījums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Maksimālais iegūstamais punktu skaits (maksimālā skaitliskā vērtība)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:rsidR="001B311D" w:rsidRPr="0067500C" w:rsidRDefault="001B311D" w:rsidP="00F33967">
            <w:pPr>
              <w:tabs>
                <w:tab w:val="left" w:pos="567"/>
              </w:tabs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67500C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67500C">
              <w:rPr>
                <w:b/>
                <w:bCs/>
                <w:sz w:val="18"/>
                <w:szCs w:val="18"/>
              </w:rPr>
              <w:t>Clean</w:t>
            </w:r>
            <w:proofErr w:type="spellEnd"/>
            <w:r w:rsidRPr="0067500C">
              <w:rPr>
                <w:b/>
                <w:bCs/>
                <w:sz w:val="18"/>
                <w:szCs w:val="18"/>
              </w:rPr>
              <w:t xml:space="preserve"> R" SIA</w:t>
            </w:r>
          </w:p>
          <w:p w:rsidR="001B311D" w:rsidRPr="0067500C" w:rsidRDefault="001B311D" w:rsidP="00F33967">
            <w:pPr>
              <w:tabs>
                <w:tab w:val="left" w:pos="567"/>
              </w:tabs>
              <w:ind w:right="-6"/>
              <w:jc w:val="center"/>
              <w:rPr>
                <w:b/>
                <w:bCs/>
                <w:sz w:val="18"/>
                <w:szCs w:val="18"/>
              </w:rPr>
            </w:pPr>
          </w:p>
          <w:p w:rsidR="00B8092F" w:rsidRPr="0067500C" w:rsidRDefault="00B8092F" w:rsidP="00F33967">
            <w:pPr>
              <w:jc w:val="center"/>
              <w:rPr>
                <w:b/>
                <w:sz w:val="18"/>
                <w:szCs w:val="18"/>
              </w:rPr>
            </w:pPr>
          </w:p>
          <w:p w:rsidR="001B311D" w:rsidRPr="0067500C" w:rsidRDefault="001B311D" w:rsidP="00F33967">
            <w:pPr>
              <w:jc w:val="center"/>
              <w:rPr>
                <w:b/>
                <w:sz w:val="18"/>
                <w:szCs w:val="18"/>
              </w:rPr>
            </w:pPr>
            <w:r w:rsidRPr="0067500C">
              <w:rPr>
                <w:b/>
                <w:sz w:val="18"/>
                <w:szCs w:val="18"/>
              </w:rPr>
              <w:t>EIRO 15.92</w:t>
            </w:r>
          </w:p>
          <w:p w:rsidR="001B311D" w:rsidRPr="0067500C" w:rsidRDefault="001B311D" w:rsidP="00F33967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EAF1DD" w:themeFill="accent3" w:themeFillTint="33"/>
          </w:tcPr>
          <w:p w:rsidR="001B311D" w:rsidRPr="0067500C" w:rsidRDefault="001B311D" w:rsidP="00F33967">
            <w:pPr>
              <w:tabs>
                <w:tab w:val="left" w:pos="567"/>
              </w:tabs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67500C">
              <w:rPr>
                <w:b/>
                <w:bCs/>
                <w:sz w:val="18"/>
                <w:szCs w:val="18"/>
              </w:rPr>
              <w:t xml:space="preserve">"Eco </w:t>
            </w:r>
            <w:proofErr w:type="spellStart"/>
            <w:r w:rsidRPr="0067500C">
              <w:rPr>
                <w:b/>
                <w:bCs/>
                <w:sz w:val="18"/>
                <w:szCs w:val="18"/>
              </w:rPr>
              <w:t>Baltia</w:t>
            </w:r>
            <w:proofErr w:type="spellEnd"/>
            <w:r w:rsidRPr="0067500C">
              <w:rPr>
                <w:b/>
                <w:bCs/>
                <w:sz w:val="18"/>
                <w:szCs w:val="18"/>
              </w:rPr>
              <w:t xml:space="preserve"> vide" SIA</w:t>
            </w:r>
          </w:p>
          <w:p w:rsidR="001B311D" w:rsidRPr="0067500C" w:rsidRDefault="001B311D" w:rsidP="00F33967">
            <w:pPr>
              <w:tabs>
                <w:tab w:val="left" w:pos="567"/>
              </w:tabs>
              <w:ind w:right="-6"/>
              <w:jc w:val="center"/>
              <w:rPr>
                <w:b/>
                <w:bCs/>
                <w:sz w:val="18"/>
                <w:szCs w:val="18"/>
              </w:rPr>
            </w:pPr>
          </w:p>
          <w:p w:rsidR="00693823" w:rsidRPr="0067500C" w:rsidRDefault="00693823" w:rsidP="00F33967">
            <w:pPr>
              <w:jc w:val="center"/>
              <w:rPr>
                <w:b/>
                <w:sz w:val="18"/>
                <w:szCs w:val="18"/>
              </w:rPr>
            </w:pPr>
          </w:p>
          <w:p w:rsidR="001B311D" w:rsidRPr="0067500C" w:rsidRDefault="001B311D" w:rsidP="00F33967">
            <w:pPr>
              <w:jc w:val="center"/>
              <w:rPr>
                <w:b/>
                <w:sz w:val="18"/>
                <w:szCs w:val="18"/>
              </w:rPr>
            </w:pPr>
            <w:r w:rsidRPr="0067500C">
              <w:rPr>
                <w:b/>
                <w:sz w:val="18"/>
                <w:szCs w:val="18"/>
              </w:rPr>
              <w:t>EIRO 13.92</w:t>
            </w:r>
          </w:p>
          <w:p w:rsidR="001B311D" w:rsidRPr="0067500C" w:rsidRDefault="001B311D" w:rsidP="00F33967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1B311D" w:rsidRPr="0067500C" w:rsidTr="00693823">
        <w:tc>
          <w:tcPr>
            <w:tcW w:w="53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1.</w:t>
            </w:r>
          </w:p>
        </w:tc>
        <w:tc>
          <w:tcPr>
            <w:tcW w:w="185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 xml:space="preserve">1 m3 sadzīves atkritumu apsaimniekošanas vidējā </w:t>
            </w:r>
            <w:r w:rsidRPr="0067500C">
              <w:rPr>
                <w:sz w:val="18"/>
                <w:szCs w:val="18"/>
                <w:lang w:eastAsia="lv-LV"/>
              </w:rPr>
              <w:t>tarifa cena</w:t>
            </w:r>
            <w:r w:rsidRPr="0067500C">
              <w:rPr>
                <w:b/>
                <w:sz w:val="18"/>
                <w:szCs w:val="18"/>
                <w:lang w:eastAsia="lv-LV"/>
              </w:rPr>
              <w:t xml:space="preserve"> </w:t>
            </w:r>
            <w:r w:rsidRPr="0067500C">
              <w:rPr>
                <w:noProof/>
                <w:sz w:val="18"/>
                <w:szCs w:val="18"/>
              </w:rPr>
              <w:t>7 gadu periodā</w:t>
            </w:r>
            <w:r w:rsidRPr="0067500C">
              <w:rPr>
                <w:b/>
                <w:noProof/>
                <w:sz w:val="18"/>
                <w:szCs w:val="18"/>
              </w:rPr>
              <w:t>*</w:t>
            </w:r>
          </w:p>
        </w:tc>
        <w:tc>
          <w:tcPr>
            <w:tcW w:w="3615" w:type="dxa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Pretendenta piedāvājums ar zemāko piedāvāto vienības tarifa cenu (EUR bez PVN) tiek vērtēts ar maksimāli iespējamo punktu skaitu – 60</w:t>
            </w:r>
            <w:r w:rsidRPr="0067500C">
              <w:rPr>
                <w:b/>
                <w:noProof/>
                <w:sz w:val="18"/>
                <w:szCs w:val="18"/>
              </w:rPr>
              <w:t xml:space="preserve"> punktiem</w:t>
            </w:r>
            <w:r w:rsidRPr="0067500C">
              <w:rPr>
                <w:noProof/>
                <w:sz w:val="18"/>
                <w:szCs w:val="18"/>
              </w:rPr>
              <w:t xml:space="preserve">. 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 xml:space="preserve">Punkti pārējo pretendentu piedāvājumiem tiek aprēķināti pēc šādas formulas: 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Apret. = Cmin./Cpret.x 60, kur: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Apret. – vērtējamā pretendenta iegūtais punktu skaits par tā piedāvāto vienības līgumcenu;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Cmin. – lētākā piedāvātā vienības līgumcena, EUR bez PVN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Cpret. – vērtējamā pretendenta piedāvātā vienības līgumcena, EUR bez PVN.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60</w:t>
            </w:r>
          </w:p>
        </w:tc>
        <w:tc>
          <w:tcPr>
            <w:tcW w:w="1468" w:type="dxa"/>
            <w:vAlign w:val="center"/>
          </w:tcPr>
          <w:p w:rsidR="001B311D" w:rsidRPr="0067500C" w:rsidRDefault="00F33967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52.47</w:t>
            </w:r>
          </w:p>
        </w:tc>
        <w:tc>
          <w:tcPr>
            <w:tcW w:w="1495" w:type="dxa"/>
            <w:vAlign w:val="center"/>
          </w:tcPr>
          <w:p w:rsidR="001B311D" w:rsidRPr="0067500C" w:rsidRDefault="00F33967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60</w:t>
            </w:r>
          </w:p>
        </w:tc>
      </w:tr>
      <w:tr w:rsidR="001B311D" w:rsidRPr="0067500C" w:rsidTr="00693823">
        <w:tc>
          <w:tcPr>
            <w:tcW w:w="53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108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2.</w:t>
            </w:r>
          </w:p>
        </w:tc>
        <w:tc>
          <w:tcPr>
            <w:tcW w:w="185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Specializētās tehnikas nodrošinājums pakalpojuma sniegšanai</w:t>
            </w:r>
          </w:p>
        </w:tc>
        <w:tc>
          <w:tcPr>
            <w:tcW w:w="3615" w:type="dxa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Max punktu skaits  15 – 4  vai vairāk Pretendenta īpašumā vai valdījumā esošo transporta līdzekļu, kas tiks izmantoti pakalpojuma sniegšanai Pasūtītājam, atbilst ne mazāk kā “EURO VI drošs” standartam;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bCs/>
                <w:noProof/>
                <w:sz w:val="18"/>
                <w:szCs w:val="18"/>
              </w:rPr>
            </w:pPr>
            <w:r w:rsidRPr="0067500C">
              <w:rPr>
                <w:bCs/>
                <w:noProof/>
                <w:sz w:val="18"/>
                <w:szCs w:val="18"/>
              </w:rPr>
              <w:t xml:space="preserve">Punktu skaits 11 –3 Pretendenta īpašumā vai valdījumā </w:t>
            </w:r>
            <w:r w:rsidRPr="0067500C">
              <w:rPr>
                <w:noProof/>
                <w:sz w:val="18"/>
                <w:szCs w:val="18"/>
              </w:rPr>
              <w:t>esošo transporta līdzekļu, kas tiks izmantoti pakalpojuma sniegšanai Pasūtītājam, atbilst ne mazāk kā “EURO VI drošs” standartam</w:t>
            </w:r>
            <w:r w:rsidRPr="0067500C">
              <w:rPr>
                <w:bCs/>
                <w:noProof/>
                <w:sz w:val="18"/>
                <w:szCs w:val="18"/>
              </w:rPr>
              <w:t xml:space="preserve">; 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bCs/>
                <w:noProof/>
                <w:sz w:val="18"/>
                <w:szCs w:val="18"/>
              </w:rPr>
            </w:pPr>
            <w:r w:rsidRPr="0067500C">
              <w:rPr>
                <w:bCs/>
                <w:noProof/>
                <w:sz w:val="18"/>
                <w:szCs w:val="18"/>
              </w:rPr>
              <w:t xml:space="preserve">Punktu skaits 7 – 2 Pretendenta īpašumā vai valdījumā </w:t>
            </w:r>
            <w:r w:rsidRPr="0067500C">
              <w:rPr>
                <w:noProof/>
                <w:sz w:val="18"/>
                <w:szCs w:val="18"/>
              </w:rPr>
              <w:t>esošo transporta līdzekļu, kas tiks izmantoti pakalpojuma sniegšanai Pasūtītājam, atbilst ne  mazāk kā “EURO VI drošs” standartam</w:t>
            </w:r>
            <w:r w:rsidRPr="0067500C">
              <w:rPr>
                <w:bCs/>
                <w:noProof/>
                <w:sz w:val="18"/>
                <w:szCs w:val="18"/>
              </w:rPr>
              <w:t xml:space="preserve">; 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bCs/>
                <w:noProof/>
                <w:sz w:val="18"/>
                <w:szCs w:val="18"/>
              </w:rPr>
            </w:pPr>
            <w:r w:rsidRPr="0067500C">
              <w:rPr>
                <w:bCs/>
                <w:noProof/>
                <w:sz w:val="18"/>
                <w:szCs w:val="18"/>
              </w:rPr>
              <w:lastRenderedPageBreak/>
              <w:t>Punktu skaits 3 – Pretendenta īpašumā vai valdījumā ir vismaz 1 transporta līdzeklis, kas tiks izmantos pakalpojuma sniegšanai Pasūtītājam, kas atbilst ne mazāk kā “EURO VI drošs” standartam.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bCs/>
                <w:noProof/>
                <w:sz w:val="18"/>
                <w:szCs w:val="18"/>
              </w:rPr>
            </w:pPr>
            <w:r w:rsidRPr="0067500C">
              <w:rPr>
                <w:bCs/>
                <w:noProof/>
                <w:sz w:val="18"/>
                <w:szCs w:val="18"/>
              </w:rPr>
              <w:t>Punktu skaits 0 – Pretendenta īpašumā vai valdījumā nav transporta līdzeklis, kas tiks izmantos pakalpojuma sniegšanai Pasūtītājam, kas atbilst “EURO VI drošs” standartam.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lastRenderedPageBreak/>
              <w:t>15</w:t>
            </w:r>
          </w:p>
        </w:tc>
        <w:tc>
          <w:tcPr>
            <w:tcW w:w="1468" w:type="dxa"/>
            <w:vAlign w:val="center"/>
          </w:tcPr>
          <w:p w:rsidR="001B311D" w:rsidRPr="0067500C" w:rsidRDefault="00F33967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15</w:t>
            </w:r>
          </w:p>
        </w:tc>
        <w:tc>
          <w:tcPr>
            <w:tcW w:w="1495" w:type="dxa"/>
            <w:vAlign w:val="center"/>
          </w:tcPr>
          <w:p w:rsidR="001B311D" w:rsidRPr="0067500C" w:rsidRDefault="006E2BC4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11</w:t>
            </w:r>
          </w:p>
        </w:tc>
      </w:tr>
      <w:tr w:rsidR="001B311D" w:rsidRPr="0067500C" w:rsidTr="00693823">
        <w:tc>
          <w:tcPr>
            <w:tcW w:w="53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3.</w:t>
            </w:r>
          </w:p>
        </w:tc>
        <w:tc>
          <w:tcPr>
            <w:tcW w:w="185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1 trafarētā maisa cena</w:t>
            </w:r>
          </w:p>
        </w:tc>
        <w:tc>
          <w:tcPr>
            <w:tcW w:w="3615" w:type="dxa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 xml:space="preserve">Pretendenta piedāvājums ar zemāko piedāvāto vienības līgumcenu (EUR bez PVN) tiek vērtēts ar maksimāli iespējamo punktu skaitu – </w:t>
            </w:r>
            <w:r w:rsidRPr="0067500C">
              <w:rPr>
                <w:b/>
                <w:noProof/>
                <w:sz w:val="18"/>
                <w:szCs w:val="18"/>
              </w:rPr>
              <w:t>10 punktiem</w:t>
            </w:r>
            <w:r w:rsidRPr="0067500C">
              <w:rPr>
                <w:noProof/>
                <w:sz w:val="18"/>
                <w:szCs w:val="18"/>
              </w:rPr>
              <w:t xml:space="preserve">. 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 xml:space="preserve">Punkti pārējo pretendentu piedāvājumiem tiek aprēķināti pēc sekojošas formulas: 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Apret. = Cmin./Cpret.x 10, kur: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Apret. – vērtējamā pretendenta iegūtais punktu skaits par tā piedāvāto vienības līgumcenu;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Cmin. – lētākā piedāvātā vienības līgumcena, EUR bez PVN</w:t>
            </w: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Cpret. – vērtējamā pretendenta piedāvātā vienības līgumcena, EUR bez PVN.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468" w:type="dxa"/>
            <w:vAlign w:val="center"/>
          </w:tcPr>
          <w:p w:rsidR="001B311D" w:rsidRPr="0067500C" w:rsidRDefault="00F33967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9.74</w:t>
            </w:r>
          </w:p>
        </w:tc>
        <w:tc>
          <w:tcPr>
            <w:tcW w:w="1495" w:type="dxa"/>
            <w:vAlign w:val="center"/>
          </w:tcPr>
          <w:p w:rsidR="001B311D" w:rsidRPr="0067500C" w:rsidRDefault="00F33967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10</w:t>
            </w:r>
          </w:p>
        </w:tc>
      </w:tr>
      <w:tr w:rsidR="001B311D" w:rsidRPr="0067500C" w:rsidTr="00693823">
        <w:tc>
          <w:tcPr>
            <w:tcW w:w="53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4.</w:t>
            </w:r>
          </w:p>
        </w:tc>
        <w:tc>
          <w:tcPr>
            <w:tcW w:w="185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Elektroniskie pakalpojumi (līguma parakstīšana)</w:t>
            </w:r>
          </w:p>
        </w:tc>
        <w:tc>
          <w:tcPr>
            <w:tcW w:w="3615" w:type="dxa"/>
            <w:shd w:val="clear" w:color="auto" w:fill="auto"/>
          </w:tcPr>
          <w:p w:rsidR="001B311D" w:rsidRPr="0067500C" w:rsidRDefault="001B311D" w:rsidP="00914223">
            <w:pPr>
              <w:pStyle w:val="TableParagraph"/>
              <w:ind w:left="110" w:right="89"/>
              <w:jc w:val="both"/>
              <w:rPr>
                <w:sz w:val="18"/>
                <w:szCs w:val="18"/>
              </w:rPr>
            </w:pPr>
            <w:r w:rsidRPr="0067500C">
              <w:rPr>
                <w:sz w:val="18"/>
                <w:szCs w:val="18"/>
              </w:rPr>
              <w:t>Klientiem būs iespēja noslēgt atkritumu apsaimniekošanas līgumu elektroniski (aizpildot līgumu mājaslapā) vai attālināti (rakstot uz e-pastu vai zvanot):</w:t>
            </w:r>
          </w:p>
          <w:p w:rsidR="001B311D" w:rsidRPr="0067500C" w:rsidRDefault="001B311D" w:rsidP="00914223">
            <w:pPr>
              <w:pStyle w:val="TableParagraph"/>
              <w:numPr>
                <w:ilvl w:val="0"/>
                <w:numId w:val="7"/>
              </w:numPr>
              <w:ind w:right="89"/>
              <w:jc w:val="both"/>
              <w:rPr>
                <w:rStyle w:val="Izclums"/>
                <w:i w:val="0"/>
                <w:sz w:val="18"/>
                <w:szCs w:val="18"/>
              </w:rPr>
            </w:pPr>
            <w:r w:rsidRPr="0067500C">
              <w:rPr>
                <w:rStyle w:val="Izclums"/>
                <w:sz w:val="18"/>
                <w:szCs w:val="18"/>
              </w:rPr>
              <w:t>visa līguma darbības laikā 10 punkti</w:t>
            </w:r>
          </w:p>
          <w:p w:rsidR="001B311D" w:rsidRPr="0067500C" w:rsidRDefault="001B311D" w:rsidP="00914223">
            <w:pPr>
              <w:pStyle w:val="TableParagraph"/>
              <w:numPr>
                <w:ilvl w:val="0"/>
                <w:numId w:val="7"/>
              </w:numPr>
              <w:ind w:right="89"/>
              <w:jc w:val="both"/>
              <w:rPr>
                <w:sz w:val="18"/>
                <w:szCs w:val="18"/>
              </w:rPr>
            </w:pPr>
            <w:r w:rsidRPr="0067500C">
              <w:rPr>
                <w:sz w:val="18"/>
                <w:szCs w:val="18"/>
              </w:rPr>
              <w:t>Nav piedāvāts – 0 punkti.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468" w:type="dxa"/>
            <w:vAlign w:val="center"/>
          </w:tcPr>
          <w:p w:rsidR="001B311D" w:rsidRPr="0067500C" w:rsidRDefault="00526697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10</w:t>
            </w:r>
          </w:p>
        </w:tc>
        <w:tc>
          <w:tcPr>
            <w:tcW w:w="1495" w:type="dxa"/>
            <w:vAlign w:val="center"/>
          </w:tcPr>
          <w:p w:rsidR="001B311D" w:rsidRPr="0067500C" w:rsidRDefault="00F33967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10</w:t>
            </w:r>
          </w:p>
        </w:tc>
      </w:tr>
      <w:tr w:rsidR="001B311D" w:rsidRPr="0067500C" w:rsidTr="00693823">
        <w:tc>
          <w:tcPr>
            <w:tcW w:w="53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5.</w:t>
            </w:r>
          </w:p>
        </w:tc>
        <w:tc>
          <w:tcPr>
            <w:tcW w:w="1857" w:type="dxa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 xml:space="preserve">Elektroniskie pakalpojumi </w:t>
            </w:r>
          </w:p>
        </w:tc>
        <w:tc>
          <w:tcPr>
            <w:tcW w:w="3615" w:type="dxa"/>
          </w:tcPr>
          <w:p w:rsidR="001B311D" w:rsidRPr="0067500C" w:rsidRDefault="001B311D" w:rsidP="00914223">
            <w:pPr>
              <w:pStyle w:val="TableParagraph"/>
              <w:ind w:left="110" w:right="89"/>
              <w:jc w:val="both"/>
              <w:rPr>
                <w:sz w:val="18"/>
                <w:szCs w:val="18"/>
              </w:rPr>
            </w:pPr>
            <w:r w:rsidRPr="0067500C">
              <w:rPr>
                <w:sz w:val="18"/>
                <w:szCs w:val="18"/>
              </w:rPr>
              <w:t xml:space="preserve">Klientiem būs iespēja tiešsaistē pasūtīt papildus sadzīves atkritumu izvešanu, atkritumu izvešanu ar </w:t>
            </w:r>
            <w:proofErr w:type="spellStart"/>
            <w:r w:rsidRPr="0067500C">
              <w:rPr>
                <w:sz w:val="18"/>
                <w:szCs w:val="18"/>
              </w:rPr>
              <w:t>lielgabarīta</w:t>
            </w:r>
            <w:proofErr w:type="spellEnd"/>
            <w:r w:rsidRPr="0067500C">
              <w:rPr>
                <w:sz w:val="18"/>
                <w:szCs w:val="18"/>
              </w:rPr>
              <w:t xml:space="preserve"> konteineru un  mainīt sadzīves atkritumu izvešanas biežumu bez maksas vismaz vienreiz ceturksnī. </w:t>
            </w:r>
          </w:p>
          <w:p w:rsidR="001B311D" w:rsidRPr="0067500C" w:rsidRDefault="001B311D" w:rsidP="00914223">
            <w:pPr>
              <w:pStyle w:val="TableParagraph"/>
              <w:ind w:left="110" w:right="89"/>
              <w:jc w:val="both"/>
              <w:rPr>
                <w:rStyle w:val="Izclums"/>
                <w:i w:val="0"/>
                <w:sz w:val="18"/>
                <w:szCs w:val="18"/>
              </w:rPr>
            </w:pPr>
          </w:p>
          <w:p w:rsidR="001B311D" w:rsidRPr="0067500C" w:rsidRDefault="001B311D" w:rsidP="00526697">
            <w:pPr>
              <w:pStyle w:val="TableParagraph"/>
              <w:ind w:left="110" w:right="89"/>
              <w:jc w:val="both"/>
              <w:rPr>
                <w:sz w:val="18"/>
                <w:szCs w:val="18"/>
              </w:rPr>
            </w:pPr>
            <w:r w:rsidRPr="0067500C">
              <w:rPr>
                <w:sz w:val="18"/>
                <w:szCs w:val="18"/>
              </w:rPr>
              <w:t xml:space="preserve">Tiks nodrošināts šāds pakalpojums uz līguma noslēgšanas brīža– 5 punkti; Netiks piedāvāts – 0 punkti 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noProof/>
                <w:sz w:val="18"/>
                <w:szCs w:val="18"/>
              </w:rPr>
            </w:pPr>
            <w:r w:rsidRPr="0067500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68" w:type="dxa"/>
            <w:vAlign w:val="center"/>
          </w:tcPr>
          <w:p w:rsidR="001B311D" w:rsidRPr="0067500C" w:rsidRDefault="00526697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1495" w:type="dxa"/>
            <w:vAlign w:val="center"/>
          </w:tcPr>
          <w:p w:rsidR="001B311D" w:rsidRPr="0067500C" w:rsidRDefault="00F33967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5</w:t>
            </w:r>
          </w:p>
        </w:tc>
      </w:tr>
      <w:tr w:rsidR="001B311D" w:rsidRPr="0067500C" w:rsidTr="00693823">
        <w:tc>
          <w:tcPr>
            <w:tcW w:w="2394" w:type="dxa"/>
            <w:gridSpan w:val="2"/>
            <w:shd w:val="clear" w:color="auto" w:fill="auto"/>
          </w:tcPr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615" w:type="dxa"/>
          </w:tcPr>
          <w:p w:rsidR="00526697" w:rsidRPr="0067500C" w:rsidRDefault="00526697" w:rsidP="00526697">
            <w:pPr>
              <w:tabs>
                <w:tab w:val="left" w:pos="567"/>
              </w:tabs>
              <w:ind w:right="-6"/>
              <w:jc w:val="right"/>
              <w:rPr>
                <w:noProof/>
                <w:sz w:val="18"/>
                <w:szCs w:val="18"/>
              </w:rPr>
            </w:pPr>
          </w:p>
          <w:p w:rsidR="001B311D" w:rsidRPr="0067500C" w:rsidRDefault="00526697" w:rsidP="00526697">
            <w:pPr>
              <w:tabs>
                <w:tab w:val="left" w:pos="567"/>
              </w:tabs>
              <w:ind w:right="-6"/>
              <w:jc w:val="right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Kopā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6697" w:rsidRPr="0067500C" w:rsidRDefault="00526697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</w:p>
          <w:p w:rsidR="001B311D" w:rsidRPr="0067500C" w:rsidRDefault="001B311D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100</w:t>
            </w:r>
          </w:p>
          <w:p w:rsidR="00526697" w:rsidRPr="0067500C" w:rsidRDefault="00526697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B311D" w:rsidRPr="0067500C" w:rsidRDefault="00526697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 w:rsidRPr="0067500C">
              <w:rPr>
                <w:b/>
                <w:noProof/>
                <w:sz w:val="18"/>
                <w:szCs w:val="18"/>
              </w:rPr>
              <w:t>92.21</w:t>
            </w:r>
          </w:p>
        </w:tc>
        <w:tc>
          <w:tcPr>
            <w:tcW w:w="1495" w:type="dxa"/>
            <w:vAlign w:val="center"/>
          </w:tcPr>
          <w:p w:rsidR="001B311D" w:rsidRPr="0067500C" w:rsidRDefault="006E2BC4" w:rsidP="00914223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96</w:t>
            </w:r>
          </w:p>
        </w:tc>
      </w:tr>
    </w:tbl>
    <w:p w:rsidR="00B4371C" w:rsidRDefault="00B4371C" w:rsidP="00B4371C">
      <w:pPr>
        <w:spacing w:before="120" w:after="120"/>
        <w:ind w:right="45"/>
        <w:jc w:val="both"/>
      </w:pPr>
    </w:p>
    <w:p w:rsidR="007B5A40" w:rsidRDefault="00156376" w:rsidP="00662F4E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 xml:space="preserve">V. Bulāns atgādina, ka 2019.gada 3.maija sēdē (Prot. Nr. 05-30-2019/40-4) </w:t>
      </w:r>
      <w:r w:rsidR="005C5023">
        <w:t>Komisija secināja</w:t>
      </w:r>
      <w:r w:rsidR="007B5A40">
        <w:t xml:space="preserve">, ka </w:t>
      </w:r>
      <w:r w:rsidR="000B5EEF">
        <w:t>par saimnieciski visizdevīgāko piedāvājumu, kurš ieguvis augstāko skaitlisko piedāvājumu atzīstams:</w:t>
      </w:r>
    </w:p>
    <w:p w:rsidR="000B5EEF" w:rsidRPr="00B53CBD" w:rsidRDefault="00446A4D" w:rsidP="000B5EEF">
      <w:pPr>
        <w:pStyle w:val="Sarakstarindkopa"/>
        <w:numPr>
          <w:ilvl w:val="0"/>
          <w:numId w:val="8"/>
        </w:numPr>
        <w:spacing w:before="120" w:after="120"/>
        <w:ind w:right="45"/>
        <w:jc w:val="both"/>
        <w:rPr>
          <w:b/>
        </w:rPr>
      </w:pPr>
      <w:r w:rsidRPr="00B53CBD">
        <w:rPr>
          <w:b/>
        </w:rPr>
        <w:t xml:space="preserve">ar </w:t>
      </w:r>
      <w:proofErr w:type="spellStart"/>
      <w:r w:rsidRPr="00B53CBD">
        <w:rPr>
          <w:b/>
        </w:rPr>
        <w:t>Kadagas</w:t>
      </w:r>
      <w:proofErr w:type="spellEnd"/>
      <w:r w:rsidRPr="00B53CBD">
        <w:rPr>
          <w:b/>
        </w:rPr>
        <w:t xml:space="preserve"> šķiroto atkritumu pieņemšanas laukumu – SIA “</w:t>
      </w:r>
      <w:r w:rsidR="005B76AC" w:rsidRPr="005B76AC">
        <w:rPr>
          <w:b/>
          <w:bCs/>
        </w:rPr>
        <w:t xml:space="preserve">Eco </w:t>
      </w:r>
      <w:proofErr w:type="spellStart"/>
      <w:r w:rsidR="005B76AC" w:rsidRPr="005B76AC">
        <w:rPr>
          <w:b/>
          <w:bCs/>
        </w:rPr>
        <w:t>Baltia</w:t>
      </w:r>
      <w:proofErr w:type="spellEnd"/>
      <w:r w:rsidR="005B76AC" w:rsidRPr="005B76AC">
        <w:rPr>
          <w:b/>
          <w:bCs/>
        </w:rPr>
        <w:t xml:space="preserve"> vide</w:t>
      </w:r>
      <w:r w:rsidRPr="00B53CBD">
        <w:rPr>
          <w:b/>
          <w:bCs/>
        </w:rPr>
        <w:t xml:space="preserve">” (ieguvis </w:t>
      </w:r>
      <w:r w:rsidR="006E2BC4">
        <w:rPr>
          <w:b/>
          <w:bCs/>
        </w:rPr>
        <w:t>96</w:t>
      </w:r>
      <w:r w:rsidR="005D1147" w:rsidRPr="00B53CBD">
        <w:rPr>
          <w:b/>
          <w:bCs/>
        </w:rPr>
        <w:t xml:space="preserve"> punktus),</w:t>
      </w:r>
    </w:p>
    <w:p w:rsidR="00446A4D" w:rsidRPr="00B53CBD" w:rsidRDefault="00446A4D" w:rsidP="000B5EEF">
      <w:pPr>
        <w:pStyle w:val="Sarakstarindkopa"/>
        <w:numPr>
          <w:ilvl w:val="0"/>
          <w:numId w:val="8"/>
        </w:numPr>
        <w:spacing w:before="120" w:after="120"/>
        <w:ind w:right="45"/>
        <w:jc w:val="both"/>
        <w:rPr>
          <w:b/>
        </w:rPr>
      </w:pPr>
      <w:r w:rsidRPr="00B53CBD">
        <w:rPr>
          <w:b/>
        </w:rPr>
        <w:t xml:space="preserve">bez </w:t>
      </w:r>
      <w:proofErr w:type="spellStart"/>
      <w:r w:rsidRPr="00B53CBD">
        <w:rPr>
          <w:b/>
        </w:rPr>
        <w:t>Kadagas</w:t>
      </w:r>
      <w:proofErr w:type="spellEnd"/>
      <w:r w:rsidRPr="00B53CBD">
        <w:rPr>
          <w:b/>
        </w:rPr>
        <w:t xml:space="preserve"> šķiroto atkritumu pieņemšanas laukuma - </w:t>
      </w:r>
      <w:r w:rsidR="005D1147" w:rsidRPr="00B53CBD">
        <w:rPr>
          <w:b/>
        </w:rPr>
        <w:t>SIA “</w:t>
      </w:r>
      <w:r w:rsidR="005B76AC" w:rsidRPr="005B76AC">
        <w:rPr>
          <w:b/>
          <w:bCs/>
        </w:rPr>
        <w:t xml:space="preserve">Eco </w:t>
      </w:r>
      <w:proofErr w:type="spellStart"/>
      <w:r w:rsidR="005B76AC" w:rsidRPr="005B76AC">
        <w:rPr>
          <w:b/>
          <w:bCs/>
        </w:rPr>
        <w:t>Baltia</w:t>
      </w:r>
      <w:proofErr w:type="spellEnd"/>
      <w:r w:rsidR="005B76AC" w:rsidRPr="005B76AC">
        <w:rPr>
          <w:b/>
          <w:bCs/>
        </w:rPr>
        <w:t xml:space="preserve"> vide</w:t>
      </w:r>
      <w:r w:rsidR="005D1147" w:rsidRPr="00B53CBD">
        <w:rPr>
          <w:b/>
          <w:bCs/>
        </w:rPr>
        <w:t xml:space="preserve">” (ieguvis </w:t>
      </w:r>
      <w:r w:rsidR="006E2BC4">
        <w:rPr>
          <w:b/>
          <w:bCs/>
        </w:rPr>
        <w:t>96</w:t>
      </w:r>
      <w:r w:rsidR="005D1147" w:rsidRPr="00B53CBD">
        <w:rPr>
          <w:b/>
          <w:bCs/>
        </w:rPr>
        <w:t xml:space="preserve"> punktus)</w:t>
      </w:r>
      <w:r w:rsidR="00B53CBD" w:rsidRPr="00B53CBD">
        <w:rPr>
          <w:b/>
          <w:bCs/>
        </w:rPr>
        <w:t>.</w:t>
      </w:r>
    </w:p>
    <w:p w:rsidR="00715C29" w:rsidRDefault="00156376" w:rsidP="00662F4E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 xml:space="preserve">V. Bulāns atgādina, ka 2019.gada 3.maija sēdē (Prot. Nr. 05-30-2019/40-4) </w:t>
      </w:r>
      <w:r w:rsidR="005C5023">
        <w:t>Komisija pārbaudīja</w:t>
      </w:r>
      <w:r w:rsidR="00A011E2">
        <w:t>, vai uz SIA</w:t>
      </w:r>
      <w:r w:rsidR="00715C29">
        <w:t xml:space="preserve"> “</w:t>
      </w:r>
      <w:r w:rsidR="005C5023" w:rsidRPr="005C5023">
        <w:rPr>
          <w:bCs/>
        </w:rPr>
        <w:t xml:space="preserve">Eco </w:t>
      </w:r>
      <w:proofErr w:type="spellStart"/>
      <w:r w:rsidR="005C5023" w:rsidRPr="005C5023">
        <w:rPr>
          <w:bCs/>
        </w:rPr>
        <w:t>Baltia</w:t>
      </w:r>
      <w:proofErr w:type="spellEnd"/>
      <w:r w:rsidR="005C5023" w:rsidRPr="005C5023">
        <w:rPr>
          <w:bCs/>
        </w:rPr>
        <w:t xml:space="preserve"> vide</w:t>
      </w:r>
      <w:r w:rsidR="00715C29">
        <w:t>” nav attiecināmi Publisko iepirkumu likuma 42.pantā noteiktie izslēgšanas nosacījumi att</w:t>
      </w:r>
      <w:r w:rsidR="00114344">
        <w:t>iecīgajā datumā. Komisija secināja</w:t>
      </w:r>
      <w:r w:rsidR="00715C29">
        <w:t>, ka izslēgšanas nosacījumi nav attiecināmi.</w:t>
      </w:r>
    </w:p>
    <w:p w:rsidR="005D169D" w:rsidRDefault="005D169D" w:rsidP="00C93AE4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>V. Bulāns atgādina, ka 2019.gada 3.maija sēdē (Prot. Nr. 05-30-2019/40-4)</w:t>
      </w:r>
      <w:r w:rsidR="00C93AE4">
        <w:t xml:space="preserve"> Komisija vienbalsīgi nolēma </w:t>
      </w:r>
      <w:r w:rsidR="00C93AE4" w:rsidRPr="00C93AE4">
        <w:t>a</w:t>
      </w:r>
      <w:r w:rsidRPr="00C93AE4">
        <w:t>tzīt SIA “</w:t>
      </w:r>
      <w:r w:rsidRPr="00C93AE4">
        <w:rPr>
          <w:bCs/>
        </w:rPr>
        <w:t xml:space="preserve">Eco </w:t>
      </w:r>
      <w:proofErr w:type="spellStart"/>
      <w:r w:rsidRPr="00C93AE4">
        <w:rPr>
          <w:bCs/>
        </w:rPr>
        <w:t>Baltia</w:t>
      </w:r>
      <w:proofErr w:type="spellEnd"/>
      <w:r w:rsidRPr="00C93AE4">
        <w:rPr>
          <w:bCs/>
        </w:rPr>
        <w:t xml:space="preserve"> vide</w:t>
      </w:r>
      <w:r w:rsidRPr="00C93AE4">
        <w:t>” piedāvājumu par saimnieciski visizdevīgāko</w:t>
      </w:r>
      <w:r w:rsidR="00C93AE4">
        <w:t xml:space="preserve">, informēt Ādažu novada domi par Iepirkumu komisijas lēmumu un, atbilstoši nolikuma 10.7. punktā noteiktajam, uzdot Domei </w:t>
      </w:r>
      <w:r w:rsidR="00C93AE4">
        <w:lastRenderedPageBreak/>
        <w:t xml:space="preserve">pieņemt lēmumu par </w:t>
      </w:r>
      <w:proofErr w:type="spellStart"/>
      <w:r w:rsidR="00C93AE4">
        <w:t>Kadagas</w:t>
      </w:r>
      <w:proofErr w:type="spellEnd"/>
      <w:r w:rsidR="00C93AE4">
        <w:t xml:space="preserve"> šķirotā atkritumu laukuma nodošanu vai nenodošanu </w:t>
      </w:r>
      <w:proofErr w:type="spellStart"/>
      <w:r w:rsidR="00C93AE4">
        <w:t>apsaimniekotājam</w:t>
      </w:r>
      <w:proofErr w:type="spellEnd"/>
      <w:r w:rsidR="00C93AE4">
        <w:t>.</w:t>
      </w:r>
    </w:p>
    <w:p w:rsidR="00C93AE4" w:rsidRPr="00E91327" w:rsidRDefault="00C93AE4" w:rsidP="00C93AE4">
      <w:pPr>
        <w:numPr>
          <w:ilvl w:val="0"/>
          <w:numId w:val="6"/>
        </w:numPr>
        <w:spacing w:before="120" w:after="120"/>
        <w:ind w:left="714" w:right="45" w:hanging="714"/>
        <w:jc w:val="both"/>
      </w:pPr>
      <w:r w:rsidRPr="00E91327">
        <w:t xml:space="preserve">V. Bulāns ziņo, ka </w:t>
      </w:r>
      <w:proofErr w:type="spellStart"/>
      <w:r w:rsidRPr="00E91327">
        <w:t>2019.gada</w:t>
      </w:r>
      <w:proofErr w:type="spellEnd"/>
      <w:r w:rsidRPr="00E91327">
        <w:t xml:space="preserve"> </w:t>
      </w:r>
      <w:r w:rsidR="00E91327" w:rsidRPr="00E91327">
        <w:t>7</w:t>
      </w:r>
      <w:r w:rsidRPr="00E91327">
        <w:t>. maijā Ādažu novada dome pieņēma lēmumu (</w:t>
      </w:r>
      <w:proofErr w:type="spellStart"/>
      <w:r w:rsidRPr="00E91327">
        <w:t>Protokollēmums</w:t>
      </w:r>
      <w:proofErr w:type="spellEnd"/>
      <w:r w:rsidRPr="00E91327">
        <w:t xml:space="preserve"> Nr. </w:t>
      </w:r>
      <w:r w:rsidR="00E91327" w:rsidRPr="00E91327">
        <w:t xml:space="preserve">11 </w:t>
      </w:r>
      <w:r w:rsidRPr="00E91327">
        <w:t>§</w:t>
      </w:r>
      <w:r w:rsidR="00E91327" w:rsidRPr="00E91327">
        <w:t>1</w:t>
      </w:r>
      <w:r w:rsidRPr="00E91327">
        <w:t xml:space="preserve">) iekļaut tarifā </w:t>
      </w:r>
      <w:proofErr w:type="spellStart"/>
      <w:r w:rsidRPr="00E91327">
        <w:t>Kadagas</w:t>
      </w:r>
      <w:proofErr w:type="spellEnd"/>
      <w:r w:rsidRPr="00E91327">
        <w:t xml:space="preserve"> šķiroto atkritumu laukumu.</w:t>
      </w:r>
    </w:p>
    <w:p w:rsidR="00662F4E" w:rsidRPr="005938A4" w:rsidRDefault="00662F4E" w:rsidP="00662F4E">
      <w:pPr>
        <w:jc w:val="both"/>
        <w:rPr>
          <w:b/>
          <w:bCs/>
        </w:rPr>
      </w:pPr>
    </w:p>
    <w:p w:rsidR="001A75D5" w:rsidRPr="005938A4" w:rsidRDefault="001A75D5" w:rsidP="001A75D5">
      <w:pPr>
        <w:shd w:val="clear" w:color="auto" w:fill="C2D69B"/>
        <w:ind w:right="-99"/>
        <w:jc w:val="both"/>
        <w:rPr>
          <w:b/>
          <w:bCs/>
        </w:rPr>
      </w:pPr>
      <w:r w:rsidRPr="005938A4">
        <w:rPr>
          <w:b/>
          <w:bCs/>
        </w:rPr>
        <w:t>Komisija</w:t>
      </w:r>
      <w:r>
        <w:rPr>
          <w:b/>
          <w:bCs/>
        </w:rPr>
        <w:t xml:space="preserve"> vienbalsīgi</w:t>
      </w:r>
      <w:r w:rsidRPr="005938A4">
        <w:rPr>
          <w:b/>
          <w:bCs/>
        </w:rPr>
        <w:t xml:space="preserve"> nolemj: </w:t>
      </w:r>
    </w:p>
    <w:p w:rsidR="001A75D5" w:rsidRPr="006C37EA" w:rsidRDefault="001A75D5" w:rsidP="001A75D5">
      <w:pPr>
        <w:numPr>
          <w:ilvl w:val="0"/>
          <w:numId w:val="5"/>
        </w:numPr>
        <w:shd w:val="clear" w:color="auto" w:fill="C2D69B"/>
        <w:tabs>
          <w:tab w:val="clear" w:pos="1170"/>
          <w:tab w:val="num" w:pos="709"/>
        </w:tabs>
        <w:ind w:left="709" w:right="-99" w:hanging="709"/>
        <w:jc w:val="both"/>
        <w:rPr>
          <w:b/>
        </w:rPr>
      </w:pPr>
      <w:r>
        <w:rPr>
          <w:b/>
        </w:rPr>
        <w:t xml:space="preserve">Piešķirt līguma slēgšanas tiesības iepirkumā SIA </w:t>
      </w:r>
      <w:r w:rsidRPr="00FF5FFD">
        <w:rPr>
          <w:b/>
        </w:rPr>
        <w:t>“</w:t>
      </w:r>
      <w:r w:rsidRPr="001A75D5">
        <w:rPr>
          <w:b/>
          <w:bCs/>
        </w:rPr>
        <w:t xml:space="preserve">Eco </w:t>
      </w:r>
      <w:proofErr w:type="spellStart"/>
      <w:r w:rsidRPr="001A75D5">
        <w:rPr>
          <w:b/>
          <w:bCs/>
        </w:rPr>
        <w:t>Baltia</w:t>
      </w:r>
      <w:proofErr w:type="spellEnd"/>
      <w:r w:rsidRPr="001A75D5">
        <w:rPr>
          <w:b/>
          <w:bCs/>
        </w:rPr>
        <w:t xml:space="preserve"> vide</w:t>
      </w:r>
      <w:r w:rsidRPr="00FF5FFD">
        <w:rPr>
          <w:b/>
          <w:bCs/>
        </w:rPr>
        <w:t>”</w:t>
      </w:r>
      <w:r>
        <w:rPr>
          <w:b/>
          <w:bCs/>
        </w:rPr>
        <w:t xml:space="preserve">. Kopējā līgumcena – </w:t>
      </w:r>
      <w:r w:rsidR="00892F99">
        <w:rPr>
          <w:b/>
          <w:bCs/>
        </w:rPr>
        <w:t>7 000 000.00</w:t>
      </w:r>
      <w:r>
        <w:rPr>
          <w:b/>
          <w:bCs/>
        </w:rPr>
        <w:t xml:space="preserve"> EUR bez PVN (ar vidējo plānoto tarifa cenu par vienu vienību 14.67 </w:t>
      </w:r>
      <w:r w:rsidRPr="00E91327">
        <w:rPr>
          <w:b/>
          <w:bCs/>
          <w:i/>
        </w:rPr>
        <w:t>euro</w:t>
      </w:r>
      <w:r>
        <w:rPr>
          <w:b/>
          <w:bCs/>
        </w:rPr>
        <w:t xml:space="preserve"> bez PVN).</w:t>
      </w:r>
    </w:p>
    <w:p w:rsidR="001A75D5" w:rsidRDefault="001A75D5" w:rsidP="001A75D5">
      <w:pPr>
        <w:numPr>
          <w:ilvl w:val="0"/>
          <w:numId w:val="5"/>
        </w:numPr>
        <w:shd w:val="clear" w:color="auto" w:fill="C2D69B"/>
        <w:tabs>
          <w:tab w:val="clear" w:pos="1170"/>
          <w:tab w:val="num" w:pos="709"/>
        </w:tabs>
        <w:ind w:left="709" w:right="-99" w:hanging="709"/>
        <w:jc w:val="both"/>
        <w:rPr>
          <w:b/>
        </w:rPr>
      </w:pPr>
      <w:r>
        <w:rPr>
          <w:b/>
        </w:rPr>
        <w:t>Ievietot informāciju par piešķirtajām līguma slēgšanas tiesībām EIS sistēmā.</w:t>
      </w:r>
    </w:p>
    <w:p w:rsidR="001A75D5" w:rsidRDefault="001A75D5" w:rsidP="001A75D5">
      <w:pPr>
        <w:numPr>
          <w:ilvl w:val="0"/>
          <w:numId w:val="5"/>
        </w:numPr>
        <w:shd w:val="clear" w:color="auto" w:fill="C2D69B"/>
        <w:tabs>
          <w:tab w:val="clear" w:pos="1170"/>
          <w:tab w:val="num" w:pos="709"/>
        </w:tabs>
        <w:ind w:left="709" w:right="-99" w:hanging="709"/>
        <w:jc w:val="both"/>
        <w:rPr>
          <w:b/>
        </w:rPr>
      </w:pPr>
      <w:r>
        <w:rPr>
          <w:b/>
        </w:rPr>
        <w:t>Informēt visus pretendentus par pieņemto lēmumu.</w:t>
      </w:r>
    </w:p>
    <w:p w:rsidR="008B64D1" w:rsidRDefault="008B64D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 xml:space="preserve">Komisijas </w:t>
      </w:r>
      <w:r w:rsidR="009F7656">
        <w:t xml:space="preserve">priekšsēdētājs </w:t>
      </w:r>
      <w:r w:rsidR="002B4916">
        <w:t>s</w:t>
      </w:r>
      <w:r w:rsidR="00CD78FE">
        <w:t xml:space="preserve">ēdi slēdz plkst. </w:t>
      </w:r>
      <w:r w:rsidR="00CD78FE" w:rsidRPr="00E91327">
        <w:t>1</w:t>
      </w:r>
      <w:r w:rsidR="00E91327" w:rsidRPr="00E91327">
        <w:t>0</w:t>
      </w:r>
      <w:r w:rsidR="00CD78FE" w:rsidRPr="00E91327">
        <w:t>:0</w:t>
      </w:r>
      <w:r w:rsidRPr="00E91327">
        <w:t>0.</w:t>
      </w:r>
    </w:p>
    <w:p w:rsidR="00F22884" w:rsidRPr="0067500C" w:rsidRDefault="001A75D5" w:rsidP="007E284F">
      <w:pPr>
        <w:jc w:val="both"/>
        <w:rPr>
          <w:b/>
        </w:rPr>
      </w:pPr>
      <w:r w:rsidRPr="0067500C">
        <w:rPr>
          <w:b/>
        </w:rPr>
        <w:t>Pielikumā:</w:t>
      </w:r>
    </w:p>
    <w:p w:rsidR="001A75D5" w:rsidRDefault="001A75D5" w:rsidP="001A75D5">
      <w:pPr>
        <w:pStyle w:val="Sarakstarindkopa"/>
        <w:numPr>
          <w:ilvl w:val="0"/>
          <w:numId w:val="10"/>
        </w:numPr>
        <w:jc w:val="both"/>
      </w:pPr>
      <w:r>
        <w:t>Info vēstules pretendentiem.</w:t>
      </w:r>
    </w:p>
    <w:p w:rsidR="00272811" w:rsidRDefault="00272811" w:rsidP="00272811"/>
    <w:p w:rsidR="00272811" w:rsidRDefault="00272811" w:rsidP="00272811">
      <w:pPr>
        <w:ind w:right="-694"/>
        <w:jc w:val="both"/>
      </w:pPr>
    </w:p>
    <w:p w:rsidR="009F5D4F" w:rsidRDefault="000B4B47" w:rsidP="00446C84">
      <w:pPr>
        <w:ind w:right="-694"/>
        <w:jc w:val="both"/>
      </w:pPr>
      <w:r>
        <w:t>Ko</w:t>
      </w:r>
      <w:r w:rsidR="009F7656">
        <w:t>misijas priekšsēdētāj</w:t>
      </w:r>
      <w:r w:rsidR="00050197">
        <w:t>s</w:t>
      </w:r>
      <w:r>
        <w:t>:</w:t>
      </w:r>
      <w:r w:rsidR="009F7656">
        <w:tab/>
      </w:r>
      <w:r>
        <w:tab/>
      </w:r>
      <w:r w:rsidR="009F5D4F">
        <w:t>_____________________</w:t>
      </w:r>
      <w:r w:rsidR="009F5D4F">
        <w:tab/>
      </w:r>
      <w:r w:rsidR="009F7656">
        <w:t>V. Bulāns</w:t>
      </w:r>
    </w:p>
    <w:p w:rsidR="004671C4" w:rsidRDefault="00272811" w:rsidP="00446C84">
      <w:pPr>
        <w:ind w:right="-694"/>
        <w:jc w:val="both"/>
      </w:pPr>
      <w:r>
        <w:t>Komisijas locekļi:</w:t>
      </w:r>
      <w:r>
        <w:tab/>
      </w:r>
      <w:r w:rsidR="00A33A1E">
        <w:tab/>
      </w:r>
    </w:p>
    <w:p w:rsidR="009F7656" w:rsidRDefault="004671C4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9F7656">
        <w:t>E. Kāpa</w:t>
      </w:r>
    </w:p>
    <w:p w:rsidR="009F7656" w:rsidRDefault="009F7656" w:rsidP="009F7656">
      <w:pPr>
        <w:ind w:left="2880" w:firstLine="720"/>
      </w:pPr>
    </w:p>
    <w:p w:rsidR="002A17BE" w:rsidRDefault="009F7656" w:rsidP="00CE4285">
      <w:pPr>
        <w:ind w:left="2880" w:firstLine="720"/>
      </w:pPr>
      <w:r>
        <w:t>_____________________</w:t>
      </w:r>
      <w:r>
        <w:tab/>
      </w:r>
      <w:r w:rsidR="000B4B47">
        <w:t>U. Dambis</w:t>
      </w:r>
    </w:p>
    <w:p w:rsidR="000B4B47" w:rsidRDefault="000B4B47" w:rsidP="00272811"/>
    <w:p w:rsidR="000B4B47" w:rsidRDefault="000B4B47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A. Brūvers</w:t>
      </w:r>
    </w:p>
    <w:p w:rsidR="00C22AFD" w:rsidRDefault="00C22AFD" w:rsidP="00272811"/>
    <w:p w:rsidR="00C22AFD" w:rsidRDefault="008B64D1" w:rsidP="00C22AFD">
      <w:pPr>
        <w:ind w:right="-341"/>
      </w:pPr>
      <w:r>
        <w:tab/>
      </w:r>
      <w:r>
        <w:tab/>
      </w:r>
      <w:r>
        <w:tab/>
      </w:r>
      <w:r>
        <w:tab/>
      </w:r>
      <w:r w:rsidR="00C22AFD">
        <w:tab/>
        <w:t>_____________________</w:t>
      </w:r>
      <w:r w:rsidR="00C22AFD">
        <w:tab/>
      </w:r>
      <w:r w:rsidR="001A75D5">
        <w:t>H. Krasts</w:t>
      </w:r>
    </w:p>
    <w:p w:rsidR="00344D80" w:rsidRDefault="00344D80" w:rsidP="00C22AFD">
      <w:pPr>
        <w:ind w:right="-341"/>
      </w:pPr>
    </w:p>
    <w:p w:rsidR="00344D80" w:rsidRDefault="00344D80" w:rsidP="00C22AFD">
      <w:pPr>
        <w:ind w:right="-341"/>
      </w:pPr>
      <w:r>
        <w:t>Iepirkumu speciāliste:</w:t>
      </w:r>
      <w:r>
        <w:tab/>
      </w:r>
      <w:r>
        <w:tab/>
      </w:r>
      <w:r>
        <w:tab/>
        <w:t>_____________________</w:t>
      </w:r>
      <w:r>
        <w:tab/>
        <w:t>L. Naļivaiko</w:t>
      </w:r>
    </w:p>
    <w:sectPr w:rsidR="00344D80" w:rsidSect="004052D3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15A6"/>
    <w:multiLevelType w:val="hybridMultilevel"/>
    <w:tmpl w:val="8CDA32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4489"/>
    <w:multiLevelType w:val="hybridMultilevel"/>
    <w:tmpl w:val="618CC572"/>
    <w:lvl w:ilvl="0" w:tplc="3D58E08E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26860"/>
    <w:multiLevelType w:val="hybridMultilevel"/>
    <w:tmpl w:val="195A0B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02D3"/>
    <w:multiLevelType w:val="hybridMultilevel"/>
    <w:tmpl w:val="F3D0F1F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4C5140"/>
    <w:multiLevelType w:val="hybridMultilevel"/>
    <w:tmpl w:val="195A0B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0CA3"/>
    <w:multiLevelType w:val="hybridMultilevel"/>
    <w:tmpl w:val="2E388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5D"/>
    <w:rsid w:val="00007D9A"/>
    <w:rsid w:val="00015B9A"/>
    <w:rsid w:val="0001637A"/>
    <w:rsid w:val="00050197"/>
    <w:rsid w:val="00051E76"/>
    <w:rsid w:val="00073BA9"/>
    <w:rsid w:val="000931AE"/>
    <w:rsid w:val="000A052B"/>
    <w:rsid w:val="000B0B2D"/>
    <w:rsid w:val="000B4B47"/>
    <w:rsid w:val="000B5EEF"/>
    <w:rsid w:val="000C04A9"/>
    <w:rsid w:val="000D0D93"/>
    <w:rsid w:val="000E7459"/>
    <w:rsid w:val="000F054A"/>
    <w:rsid w:val="00114344"/>
    <w:rsid w:val="00140949"/>
    <w:rsid w:val="00144F12"/>
    <w:rsid w:val="00146516"/>
    <w:rsid w:val="00151ED0"/>
    <w:rsid w:val="00156376"/>
    <w:rsid w:val="001804D0"/>
    <w:rsid w:val="001A75D5"/>
    <w:rsid w:val="001B1576"/>
    <w:rsid w:val="001B2D9D"/>
    <w:rsid w:val="001B311D"/>
    <w:rsid w:val="001B321C"/>
    <w:rsid w:val="001B36C9"/>
    <w:rsid w:val="001B43B8"/>
    <w:rsid w:val="001C1A6C"/>
    <w:rsid w:val="001D5B3D"/>
    <w:rsid w:val="001E56B8"/>
    <w:rsid w:val="001F4577"/>
    <w:rsid w:val="0020090F"/>
    <w:rsid w:val="00230EC0"/>
    <w:rsid w:val="00255036"/>
    <w:rsid w:val="0025721A"/>
    <w:rsid w:val="0026423A"/>
    <w:rsid w:val="002714A8"/>
    <w:rsid w:val="002716BB"/>
    <w:rsid w:val="00272811"/>
    <w:rsid w:val="002751FA"/>
    <w:rsid w:val="002827DA"/>
    <w:rsid w:val="002A17BE"/>
    <w:rsid w:val="002A1C45"/>
    <w:rsid w:val="002A54C7"/>
    <w:rsid w:val="002A72D5"/>
    <w:rsid w:val="002B3DE3"/>
    <w:rsid w:val="002B4916"/>
    <w:rsid w:val="002C658E"/>
    <w:rsid w:val="002D44B4"/>
    <w:rsid w:val="002D7099"/>
    <w:rsid w:val="002F7B89"/>
    <w:rsid w:val="00316172"/>
    <w:rsid w:val="003241BF"/>
    <w:rsid w:val="00344D80"/>
    <w:rsid w:val="00345D00"/>
    <w:rsid w:val="00347760"/>
    <w:rsid w:val="00383B60"/>
    <w:rsid w:val="00387CC2"/>
    <w:rsid w:val="003A014B"/>
    <w:rsid w:val="003C5670"/>
    <w:rsid w:val="003D78D5"/>
    <w:rsid w:val="003E14E4"/>
    <w:rsid w:val="003E4643"/>
    <w:rsid w:val="003E6729"/>
    <w:rsid w:val="003F088E"/>
    <w:rsid w:val="004052D3"/>
    <w:rsid w:val="00415205"/>
    <w:rsid w:val="0042276F"/>
    <w:rsid w:val="004245D2"/>
    <w:rsid w:val="004361E3"/>
    <w:rsid w:val="004427C6"/>
    <w:rsid w:val="00446A4D"/>
    <w:rsid w:val="00446C84"/>
    <w:rsid w:val="0045036C"/>
    <w:rsid w:val="0045072A"/>
    <w:rsid w:val="0045256E"/>
    <w:rsid w:val="00463D9A"/>
    <w:rsid w:val="004671C4"/>
    <w:rsid w:val="00470955"/>
    <w:rsid w:val="00487F2D"/>
    <w:rsid w:val="004C4B6D"/>
    <w:rsid w:val="004F109A"/>
    <w:rsid w:val="00526697"/>
    <w:rsid w:val="00531434"/>
    <w:rsid w:val="00536D2D"/>
    <w:rsid w:val="0055168C"/>
    <w:rsid w:val="00553B33"/>
    <w:rsid w:val="00570800"/>
    <w:rsid w:val="00580D28"/>
    <w:rsid w:val="00584A3A"/>
    <w:rsid w:val="00596DDE"/>
    <w:rsid w:val="005B2DFC"/>
    <w:rsid w:val="005B76AC"/>
    <w:rsid w:val="005C1B86"/>
    <w:rsid w:val="005C3A0B"/>
    <w:rsid w:val="005C5023"/>
    <w:rsid w:val="005C585D"/>
    <w:rsid w:val="005D1147"/>
    <w:rsid w:val="005D169D"/>
    <w:rsid w:val="005D6575"/>
    <w:rsid w:val="005D66B5"/>
    <w:rsid w:val="00600BFE"/>
    <w:rsid w:val="006067B6"/>
    <w:rsid w:val="00607A59"/>
    <w:rsid w:val="00610F8F"/>
    <w:rsid w:val="006208C5"/>
    <w:rsid w:val="00624590"/>
    <w:rsid w:val="00625610"/>
    <w:rsid w:val="006400DC"/>
    <w:rsid w:val="00645915"/>
    <w:rsid w:val="00650725"/>
    <w:rsid w:val="00652893"/>
    <w:rsid w:val="0065766A"/>
    <w:rsid w:val="006619A8"/>
    <w:rsid w:val="0066220F"/>
    <w:rsid w:val="00662F4E"/>
    <w:rsid w:val="0067500C"/>
    <w:rsid w:val="0068794D"/>
    <w:rsid w:val="00691273"/>
    <w:rsid w:val="00693823"/>
    <w:rsid w:val="006B2C5B"/>
    <w:rsid w:val="006B3315"/>
    <w:rsid w:val="006B6501"/>
    <w:rsid w:val="006B68BA"/>
    <w:rsid w:val="006C1F3B"/>
    <w:rsid w:val="006C37EA"/>
    <w:rsid w:val="006C5C02"/>
    <w:rsid w:val="006D43B1"/>
    <w:rsid w:val="006E2BC4"/>
    <w:rsid w:val="006F18AB"/>
    <w:rsid w:val="00701E30"/>
    <w:rsid w:val="007079A4"/>
    <w:rsid w:val="00715C29"/>
    <w:rsid w:val="00723F74"/>
    <w:rsid w:val="007242D9"/>
    <w:rsid w:val="007270E6"/>
    <w:rsid w:val="00733A9E"/>
    <w:rsid w:val="007646F5"/>
    <w:rsid w:val="007679B9"/>
    <w:rsid w:val="00796779"/>
    <w:rsid w:val="007A69D3"/>
    <w:rsid w:val="007B5A40"/>
    <w:rsid w:val="007E284F"/>
    <w:rsid w:val="007F129D"/>
    <w:rsid w:val="00805173"/>
    <w:rsid w:val="00807431"/>
    <w:rsid w:val="00817424"/>
    <w:rsid w:val="008338BB"/>
    <w:rsid w:val="0083447E"/>
    <w:rsid w:val="00844A32"/>
    <w:rsid w:val="00863C22"/>
    <w:rsid w:val="0086609C"/>
    <w:rsid w:val="008670C1"/>
    <w:rsid w:val="00873E9C"/>
    <w:rsid w:val="00875373"/>
    <w:rsid w:val="00891A77"/>
    <w:rsid w:val="00892F99"/>
    <w:rsid w:val="00897B1D"/>
    <w:rsid w:val="008A2CC0"/>
    <w:rsid w:val="008B64D1"/>
    <w:rsid w:val="008C3F6F"/>
    <w:rsid w:val="008D2697"/>
    <w:rsid w:val="008E3444"/>
    <w:rsid w:val="0090745D"/>
    <w:rsid w:val="00922163"/>
    <w:rsid w:val="009526B8"/>
    <w:rsid w:val="009633A7"/>
    <w:rsid w:val="00974833"/>
    <w:rsid w:val="00977088"/>
    <w:rsid w:val="00985768"/>
    <w:rsid w:val="0099277B"/>
    <w:rsid w:val="009A0E31"/>
    <w:rsid w:val="009D16A3"/>
    <w:rsid w:val="009E6C17"/>
    <w:rsid w:val="009F5C07"/>
    <w:rsid w:val="009F5D4F"/>
    <w:rsid w:val="009F7656"/>
    <w:rsid w:val="00A011E2"/>
    <w:rsid w:val="00A33A1E"/>
    <w:rsid w:val="00A47D1F"/>
    <w:rsid w:val="00A83441"/>
    <w:rsid w:val="00A871A3"/>
    <w:rsid w:val="00A871CD"/>
    <w:rsid w:val="00AB2AB9"/>
    <w:rsid w:val="00AE1844"/>
    <w:rsid w:val="00AE505F"/>
    <w:rsid w:val="00AF6702"/>
    <w:rsid w:val="00B05914"/>
    <w:rsid w:val="00B06D6B"/>
    <w:rsid w:val="00B16C99"/>
    <w:rsid w:val="00B22AAB"/>
    <w:rsid w:val="00B30B65"/>
    <w:rsid w:val="00B3134C"/>
    <w:rsid w:val="00B4068D"/>
    <w:rsid w:val="00B4371C"/>
    <w:rsid w:val="00B45209"/>
    <w:rsid w:val="00B47BB7"/>
    <w:rsid w:val="00B53CBD"/>
    <w:rsid w:val="00B5557C"/>
    <w:rsid w:val="00B67F6F"/>
    <w:rsid w:val="00B70EA2"/>
    <w:rsid w:val="00B71EDF"/>
    <w:rsid w:val="00B72795"/>
    <w:rsid w:val="00B73CAC"/>
    <w:rsid w:val="00B77A7E"/>
    <w:rsid w:val="00B8092F"/>
    <w:rsid w:val="00B8099E"/>
    <w:rsid w:val="00B80BB2"/>
    <w:rsid w:val="00B86CD0"/>
    <w:rsid w:val="00B94E4B"/>
    <w:rsid w:val="00B95BE5"/>
    <w:rsid w:val="00BC5788"/>
    <w:rsid w:val="00BC7AF1"/>
    <w:rsid w:val="00BD1225"/>
    <w:rsid w:val="00BD6AEA"/>
    <w:rsid w:val="00BE502E"/>
    <w:rsid w:val="00C03E6D"/>
    <w:rsid w:val="00C14E30"/>
    <w:rsid w:val="00C16BC6"/>
    <w:rsid w:val="00C22AFD"/>
    <w:rsid w:val="00C241C1"/>
    <w:rsid w:val="00C45EDB"/>
    <w:rsid w:val="00C46142"/>
    <w:rsid w:val="00C5478C"/>
    <w:rsid w:val="00C85AB0"/>
    <w:rsid w:val="00C93910"/>
    <w:rsid w:val="00C93AE4"/>
    <w:rsid w:val="00C9700B"/>
    <w:rsid w:val="00CB1941"/>
    <w:rsid w:val="00CD546C"/>
    <w:rsid w:val="00CD78FE"/>
    <w:rsid w:val="00CE4285"/>
    <w:rsid w:val="00CF3D1A"/>
    <w:rsid w:val="00D00D0B"/>
    <w:rsid w:val="00D02FA3"/>
    <w:rsid w:val="00D06E3B"/>
    <w:rsid w:val="00D10499"/>
    <w:rsid w:val="00D10B4C"/>
    <w:rsid w:val="00D21CAD"/>
    <w:rsid w:val="00D326E8"/>
    <w:rsid w:val="00D57FA4"/>
    <w:rsid w:val="00D617B4"/>
    <w:rsid w:val="00D70B3E"/>
    <w:rsid w:val="00D8005F"/>
    <w:rsid w:val="00D879E0"/>
    <w:rsid w:val="00DB30BC"/>
    <w:rsid w:val="00DB4A36"/>
    <w:rsid w:val="00DB6C6C"/>
    <w:rsid w:val="00DC0EAB"/>
    <w:rsid w:val="00DC15C7"/>
    <w:rsid w:val="00DE160A"/>
    <w:rsid w:val="00DF7B77"/>
    <w:rsid w:val="00E0125D"/>
    <w:rsid w:val="00E16008"/>
    <w:rsid w:val="00E24841"/>
    <w:rsid w:val="00E33CFC"/>
    <w:rsid w:val="00E460B0"/>
    <w:rsid w:val="00E52206"/>
    <w:rsid w:val="00E63A48"/>
    <w:rsid w:val="00E70C8F"/>
    <w:rsid w:val="00E77527"/>
    <w:rsid w:val="00E91327"/>
    <w:rsid w:val="00EA7704"/>
    <w:rsid w:val="00EB31FA"/>
    <w:rsid w:val="00ED68C8"/>
    <w:rsid w:val="00F12451"/>
    <w:rsid w:val="00F22884"/>
    <w:rsid w:val="00F305F3"/>
    <w:rsid w:val="00F33967"/>
    <w:rsid w:val="00F4067C"/>
    <w:rsid w:val="00F526AA"/>
    <w:rsid w:val="00F82575"/>
    <w:rsid w:val="00FA1C82"/>
    <w:rsid w:val="00FB257C"/>
    <w:rsid w:val="00FB35E2"/>
    <w:rsid w:val="00FB4200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56404FF"/>
  <w15:docId w15:val="{7328B8EA-833B-491F-84D6-C77D6982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272811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basedOn w:val="Noklusjumarindkopasfonts"/>
    <w:link w:val="Virsraksts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Parasts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45036C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47095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83B6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3B60"/>
    <w:rPr>
      <w:rFonts w:ascii="Segoe UI" w:eastAsia="Times New Roman" w:hAnsi="Segoe UI" w:cs="Segoe UI"/>
      <w:sz w:val="18"/>
      <w:szCs w:val="18"/>
    </w:rPr>
  </w:style>
  <w:style w:type="table" w:styleId="Reatabula">
    <w:name w:val="Table Grid"/>
    <w:basedOn w:val="Parastatabula"/>
    <w:rsid w:val="00A8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uiPriority w:val="20"/>
    <w:qFormat/>
    <w:rsid w:val="00B72795"/>
    <w:rPr>
      <w:i/>
      <w:iCs/>
    </w:rPr>
  </w:style>
  <w:style w:type="paragraph" w:customStyle="1" w:styleId="TableParagraph">
    <w:name w:val="Table Paragraph"/>
    <w:basedOn w:val="Parasts"/>
    <w:uiPriority w:val="1"/>
    <w:qFormat/>
    <w:rsid w:val="00B72795"/>
    <w:pPr>
      <w:widowControl w:val="0"/>
      <w:autoSpaceDE w:val="0"/>
      <w:autoSpaceDN w:val="0"/>
    </w:pPr>
    <w:rPr>
      <w:sz w:val="22"/>
      <w:szCs w:val="22"/>
      <w:lang w:val="lv" w:eastAsia="lv"/>
    </w:rPr>
  </w:style>
  <w:style w:type="character" w:customStyle="1" w:styleId="st">
    <w:name w:val="st"/>
    <w:basedOn w:val="Noklusjumarindkopasfonts"/>
    <w:rsid w:val="00B7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6670</Words>
  <Characters>3802</Characters>
  <Application>Microsoft Office Word</Application>
  <DocSecurity>0</DocSecurity>
  <Lines>31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Nosaukums</vt:lpstr>
      </vt:variant>
      <vt:variant>
        <vt:i4>1</vt:i4>
      </vt:variant>
    </vt:vector>
  </HeadingPairs>
  <TitlesOfParts>
    <vt:vector size="5" baseType="lpstr">
      <vt:lpstr/>
      <vt:lpstr>PROTOKOLS Nr.05-30-2019/40-5</vt:lpstr>
      <vt:lpstr>    Sēde sākās: </vt:lpstr>
      <vt:lpstr>    Komisijas priekšsēdētājs atklāj sēdi plkst. 10.00.</vt:lpstr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Linda Naļivaiko</cp:lastModifiedBy>
  <cp:revision>34</cp:revision>
  <cp:lastPrinted>2018-06-06T09:18:00Z</cp:lastPrinted>
  <dcterms:created xsi:type="dcterms:W3CDTF">2018-09-20T08:26:00Z</dcterms:created>
  <dcterms:modified xsi:type="dcterms:W3CDTF">2019-05-10T05:28:00Z</dcterms:modified>
</cp:coreProperties>
</file>