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D77981">
      <w:pPr>
        <w:shd w:val="clear" w:color="auto" w:fill="C2D69B"/>
        <w:tabs>
          <w:tab w:val="left" w:pos="5025"/>
        </w:tabs>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E86948">
        <w:rPr>
          <w:b/>
          <w:sz w:val="28"/>
          <w:szCs w:val="28"/>
        </w:rPr>
        <w:t>Ādažu novada domes laikraksta “Ādažu vēstis” drukāšana</w:t>
      </w:r>
      <w:r w:rsidRPr="009615E7">
        <w:rPr>
          <w:b/>
          <w:sz w:val="28"/>
          <w:szCs w:val="28"/>
        </w:rPr>
        <w:t>”</w:t>
      </w:r>
    </w:p>
    <w:p w:rsidR="00016DFA" w:rsidRPr="006618A5" w:rsidRDefault="0001194D" w:rsidP="0001194D">
      <w:pPr>
        <w:shd w:val="clear" w:color="auto" w:fill="C2D69B" w:themeFill="accent3" w:themeFillTint="99"/>
        <w:rPr>
          <w:sz w:val="28"/>
        </w:rPr>
      </w:pPr>
      <w:r>
        <w:rPr>
          <w:sz w:val="28"/>
        </w:rPr>
        <w:tab/>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E86948" w:rsidP="00016DFA">
      <w:pPr>
        <w:shd w:val="clear" w:color="auto" w:fill="C2D69B" w:themeFill="accent3" w:themeFillTint="99"/>
        <w:jc w:val="center"/>
        <w:rPr>
          <w:b/>
        </w:rPr>
      </w:pPr>
      <w:r>
        <w:rPr>
          <w:b/>
          <w:sz w:val="28"/>
        </w:rPr>
        <w:t>Identifikācijas Nr.: ĀND 2018/93</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Default="000B3EFC" w:rsidP="00016DFA"/>
    <w:p w:rsidR="00A94508" w:rsidRPr="006618A5" w:rsidRDefault="00A94508"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rsidR="00E86948">
        <w:t>ĀND 2018/93</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3153E1">
        <w:tc>
          <w:tcPr>
            <w:tcW w:w="1950" w:type="dxa"/>
            <w:hideMark/>
          </w:tcPr>
          <w:p w:rsidR="003614FF" w:rsidRDefault="003614FF" w:rsidP="003153E1">
            <w:pPr>
              <w:ind w:left="-108"/>
            </w:pPr>
            <w:r>
              <w:t>Adrese:</w:t>
            </w:r>
          </w:p>
        </w:tc>
        <w:tc>
          <w:tcPr>
            <w:tcW w:w="5103" w:type="dxa"/>
            <w:hideMark/>
          </w:tcPr>
          <w:p w:rsidR="003614FF" w:rsidRDefault="003614FF" w:rsidP="003153E1">
            <w:r>
              <w:t>Gaujas iela 33A, Ādaži, Ādažu novads, LV-2164</w:t>
            </w:r>
          </w:p>
        </w:tc>
      </w:tr>
      <w:tr w:rsidR="003614FF" w:rsidTr="003153E1">
        <w:tc>
          <w:tcPr>
            <w:tcW w:w="1950" w:type="dxa"/>
            <w:hideMark/>
          </w:tcPr>
          <w:p w:rsidR="003614FF" w:rsidRDefault="003614FF" w:rsidP="003153E1">
            <w:pPr>
              <w:ind w:left="-108"/>
            </w:pPr>
            <w:r>
              <w:t>Reģistrācijas Nr.</w:t>
            </w:r>
          </w:p>
        </w:tc>
        <w:tc>
          <w:tcPr>
            <w:tcW w:w="5103" w:type="dxa"/>
            <w:hideMark/>
          </w:tcPr>
          <w:p w:rsidR="003614FF" w:rsidRDefault="003614FF" w:rsidP="003153E1">
            <w:r>
              <w:t>90000048472</w:t>
            </w:r>
          </w:p>
        </w:tc>
      </w:tr>
      <w:tr w:rsidR="003614FF" w:rsidTr="003153E1">
        <w:tc>
          <w:tcPr>
            <w:tcW w:w="1950" w:type="dxa"/>
            <w:hideMark/>
          </w:tcPr>
          <w:p w:rsidR="003614FF" w:rsidRDefault="003614FF" w:rsidP="003153E1">
            <w:pPr>
              <w:ind w:left="-108"/>
            </w:pPr>
            <w:r>
              <w:t>Tālrunis:</w:t>
            </w:r>
          </w:p>
        </w:tc>
        <w:tc>
          <w:tcPr>
            <w:tcW w:w="5103" w:type="dxa"/>
            <w:hideMark/>
          </w:tcPr>
          <w:p w:rsidR="003614FF" w:rsidRDefault="003614FF" w:rsidP="003153E1">
            <w:r>
              <w:t>67997350</w:t>
            </w:r>
          </w:p>
        </w:tc>
      </w:tr>
      <w:tr w:rsidR="003614FF" w:rsidTr="003153E1">
        <w:tc>
          <w:tcPr>
            <w:tcW w:w="1950" w:type="dxa"/>
            <w:hideMark/>
          </w:tcPr>
          <w:p w:rsidR="003614FF" w:rsidRDefault="003614FF" w:rsidP="003153E1">
            <w:pPr>
              <w:ind w:left="-108"/>
            </w:pPr>
            <w:r>
              <w:t>Fakss:</w:t>
            </w:r>
          </w:p>
        </w:tc>
        <w:tc>
          <w:tcPr>
            <w:tcW w:w="5103" w:type="dxa"/>
            <w:hideMark/>
          </w:tcPr>
          <w:p w:rsidR="003614FF" w:rsidRDefault="003614FF" w:rsidP="003153E1">
            <w:r>
              <w:t>67997828</w:t>
            </w:r>
          </w:p>
        </w:tc>
      </w:tr>
    </w:tbl>
    <w:p w:rsidR="003614FF" w:rsidRDefault="004A4D1A" w:rsidP="003614FF">
      <w:pPr>
        <w:numPr>
          <w:ilvl w:val="1"/>
          <w:numId w:val="15"/>
        </w:numPr>
        <w:spacing w:before="120" w:after="120"/>
        <w:ind w:left="567" w:hanging="567"/>
        <w:rPr>
          <w:rStyle w:val="Hyperlink"/>
        </w:rPr>
      </w:pPr>
      <w:r w:rsidRPr="002C0BE6">
        <w:rPr>
          <w:b/>
        </w:rPr>
        <w:t>Kontaktpersona iepirkuma procedūras jautājumos</w:t>
      </w:r>
      <w:r w:rsidR="003614FF">
        <w:t xml:space="preserve">: Alīna Liepiņa-Jākobsone, tālr.: 67996298, e-pasts: </w:t>
      </w:r>
      <w:hyperlink r:id="rId9" w:history="1">
        <w:r w:rsidR="003614FF" w:rsidRPr="009972FF">
          <w:rPr>
            <w:rStyle w:val="Hyperlink"/>
          </w:rPr>
          <w:t>alina.liepina-jakobsone@adazi.lv</w:t>
        </w:r>
      </w:hyperlink>
      <w:r>
        <w:rPr>
          <w:rStyle w:val="Hyperlink"/>
        </w:rP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B24414">
        <w:rPr>
          <w:b/>
        </w:rPr>
        <w:t xml:space="preserve">2018.gada </w:t>
      </w:r>
      <w:r w:rsidR="004D7F01">
        <w:rPr>
          <w:b/>
        </w:rPr>
        <w:t>31</w:t>
      </w:r>
      <w:r w:rsidR="00E86948">
        <w:rPr>
          <w:b/>
        </w:rPr>
        <w:t>.jūl</w:t>
      </w:r>
      <w:r w:rsidR="00BA2ECA" w:rsidRPr="00BA2ECA">
        <w:rPr>
          <w:b/>
        </w:rPr>
        <w:t>ijam</w:t>
      </w:r>
      <w:r w:rsidRPr="00B24414">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B24414">
        <w:rPr>
          <w:b/>
        </w:rPr>
        <w:t xml:space="preserve">2018.gada </w:t>
      </w:r>
      <w:r w:rsidR="004D7F01">
        <w:rPr>
          <w:b/>
        </w:rPr>
        <w:t>31.jūl</w:t>
      </w:r>
      <w:r w:rsidR="00BA2ECA" w:rsidRPr="00BA2ECA">
        <w:rPr>
          <w:b/>
        </w:rPr>
        <w:t>ijam</w:t>
      </w:r>
      <w:r w:rsidRPr="00B24414">
        <w:t xml:space="preserve"> plkst. 10:00</w:t>
      </w:r>
      <w:r>
        <w:t>”;</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F301BA" w:rsidRDefault="00ED1897" w:rsidP="00B349F4">
      <w:pPr>
        <w:pStyle w:val="Rindkopa"/>
        <w:numPr>
          <w:ilvl w:val="1"/>
          <w:numId w:val="15"/>
        </w:numPr>
        <w:tabs>
          <w:tab w:val="clear" w:pos="0"/>
          <w:tab w:val="num" w:pos="567"/>
        </w:tabs>
        <w:spacing w:before="120" w:after="120"/>
        <w:ind w:left="567" w:hanging="567"/>
        <w:rPr>
          <w:rFonts w:ascii="Times New Roman" w:hAnsi="Times New Roman"/>
          <w:sz w:val="24"/>
        </w:rPr>
      </w:pPr>
      <w:r w:rsidRPr="00ED1897">
        <w:rPr>
          <w:rFonts w:ascii="Times New Roman" w:hAnsi="Times New Roman"/>
          <w:noProof/>
          <w:color w:val="000000"/>
          <w:sz w:val="24"/>
          <w:lang w:eastAsia="en-US"/>
        </w:rPr>
        <w:t xml:space="preserve">Iepirkuma priekšmets </w:t>
      </w:r>
      <w:r w:rsidR="004D7F01">
        <w:rPr>
          <w:rFonts w:ascii="Times New Roman" w:hAnsi="Times New Roman"/>
          <w:noProof/>
          <w:color w:val="000000"/>
          <w:sz w:val="24"/>
          <w:lang w:eastAsia="en-US"/>
        </w:rPr>
        <w:t>–</w:t>
      </w:r>
      <w:r w:rsidRPr="00F301BA">
        <w:rPr>
          <w:rFonts w:ascii="Times New Roman" w:hAnsi="Times New Roman"/>
          <w:noProof/>
          <w:color w:val="000000"/>
          <w:sz w:val="24"/>
          <w:lang w:eastAsia="en-US"/>
        </w:rPr>
        <w:t xml:space="preserve"> </w:t>
      </w:r>
      <w:r w:rsidR="004D7F01">
        <w:rPr>
          <w:rFonts w:ascii="Times New Roman" w:hAnsi="Times New Roman"/>
          <w:sz w:val="24"/>
        </w:rPr>
        <w:t>Ādažu novada domes</w:t>
      </w:r>
      <w:r w:rsidR="00CB29AC">
        <w:rPr>
          <w:rFonts w:ascii="Times New Roman" w:hAnsi="Times New Roman"/>
          <w:sz w:val="24"/>
        </w:rPr>
        <w:t xml:space="preserve"> informatīvā izdevuma</w:t>
      </w:r>
      <w:r w:rsidR="004D7F01">
        <w:rPr>
          <w:rFonts w:ascii="Times New Roman" w:hAnsi="Times New Roman"/>
          <w:sz w:val="24"/>
        </w:rPr>
        <w:t xml:space="preserve"> “Ādažu Vēstis”</w:t>
      </w:r>
      <w:r w:rsidR="00CB29AC">
        <w:rPr>
          <w:rFonts w:ascii="Times New Roman" w:hAnsi="Times New Roman"/>
          <w:sz w:val="24"/>
        </w:rPr>
        <w:t xml:space="preserve"> un tā pielikuma izgatavošana un piegāde.</w:t>
      </w:r>
    </w:p>
    <w:p w:rsidR="003614FF" w:rsidRPr="00ED1897" w:rsidRDefault="00ED1897" w:rsidP="003614FF">
      <w:pPr>
        <w:numPr>
          <w:ilvl w:val="1"/>
          <w:numId w:val="15"/>
        </w:numPr>
        <w:tabs>
          <w:tab w:val="clear" w:pos="0"/>
          <w:tab w:val="num" w:pos="567"/>
        </w:tabs>
        <w:spacing w:before="120" w:after="120"/>
        <w:ind w:left="567" w:hanging="567"/>
      </w:pPr>
      <w:r w:rsidRPr="00ED1897">
        <w:t>Iepirkums nav dalīts daļās.</w:t>
      </w:r>
    </w:p>
    <w:p w:rsidR="00ED1897" w:rsidRDefault="00ED1897" w:rsidP="00ED1897">
      <w:pPr>
        <w:numPr>
          <w:ilvl w:val="1"/>
          <w:numId w:val="15"/>
        </w:numPr>
        <w:spacing w:before="120" w:after="120"/>
        <w:ind w:left="567" w:hanging="567"/>
      </w:pPr>
      <w:r w:rsidRPr="00F738F1">
        <w:t>Nav atļauta piedāvājumu variantu iesniegšana.</w:t>
      </w:r>
      <w:r>
        <w:t xml:space="preserve"> </w:t>
      </w:r>
    </w:p>
    <w:p w:rsidR="00FB76B5" w:rsidRDefault="00863F7D" w:rsidP="00FB76B5">
      <w:pPr>
        <w:numPr>
          <w:ilvl w:val="1"/>
          <w:numId w:val="15"/>
        </w:numPr>
        <w:spacing w:before="120" w:after="120"/>
        <w:ind w:left="567" w:hanging="567"/>
      </w:pPr>
      <w:r w:rsidRPr="008127C2">
        <w:t xml:space="preserve">Līguma </w:t>
      </w:r>
      <w:r w:rsidR="004D7F01">
        <w:t xml:space="preserve">darbības laiks </w:t>
      </w:r>
      <w:r w:rsidR="009A56DC">
        <w:t>–</w:t>
      </w:r>
      <w:r w:rsidR="004D7F01">
        <w:t xml:space="preserve"> </w:t>
      </w:r>
      <w:r w:rsidR="009A56DC">
        <w:t>no 2018.gada oktobris līdz 2019.gada oktobrim.</w:t>
      </w:r>
      <w:bookmarkStart w:id="0" w:name="_GoBack"/>
      <w:bookmarkEnd w:id="0"/>
    </w:p>
    <w:p w:rsidR="00863F7D" w:rsidRDefault="00863F7D"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9E3D9D" w:rsidRDefault="009E3D9D" w:rsidP="00F301BA">
      <w:pPr>
        <w:numPr>
          <w:ilvl w:val="1"/>
          <w:numId w:val="15"/>
        </w:numPr>
        <w:spacing w:before="120" w:after="120"/>
        <w:ind w:left="567" w:hanging="567"/>
      </w:pPr>
      <w:r w:rsidRPr="00D374BF">
        <w:t>Pretendentam pēdējo 3 (trīs) gadu lai</w:t>
      </w:r>
      <w:r w:rsidR="00425EA3">
        <w:t>kā ir pozitīva pieredze vismaz 2 (divu) līdzvērtīgu</w:t>
      </w:r>
      <w:r w:rsidRPr="00D374BF">
        <w:t xml:space="preserve"> līgumu izpildē. Par līdzvērtīgu līgumu tiks uzskatīts tāds līgums, kura ietvaros nodrošināti periodiska izdevuma (vismaz 12 izdevumi gadā) iespiešanas pakalpojumi vienam pasūtītājam vismaz 12 mēnešu garumā</w:t>
      </w:r>
      <w:r w:rsidR="002D2E7F">
        <w:t>.</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3614FF"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sz w:val="24"/>
          <w:szCs w:val="24"/>
        </w:rPr>
        <w:t xml:space="preserve">Informācija par Pretendenta pēdējo 3 (trīs) gadu laikā līdz piedāvājuma iesniegšanas dienai realizētajiem līgumiem. Informācija sagatavojama saskaņā ar Nolikumam pievienoto formu (skatīt B2 formu), pievienojot pozitīvu pasūtītāja </w:t>
      </w:r>
      <w:r w:rsidR="00B24414">
        <w:rPr>
          <w:rFonts w:ascii="Times New Roman" w:hAnsi="Times New Roman" w:cs="Times New Roman"/>
          <w:sz w:val="24"/>
          <w:szCs w:val="24"/>
        </w:rPr>
        <w:t>atsauksmi par katra nolikuma 6.1</w:t>
      </w:r>
      <w:r w:rsidRPr="0085185D">
        <w:rPr>
          <w:rFonts w:ascii="Times New Roman" w:hAnsi="Times New Roman" w:cs="Times New Roman"/>
          <w:sz w:val="24"/>
          <w:szCs w:val="24"/>
        </w:rPr>
        <w:t>.punkta prasībām atbilstošā līguma izpildi.</w:t>
      </w:r>
    </w:p>
    <w:p w:rsidR="003614FF" w:rsidRPr="00745873" w:rsidRDefault="003614FF" w:rsidP="00745873">
      <w:pPr>
        <w:numPr>
          <w:ilvl w:val="1"/>
          <w:numId w:val="15"/>
        </w:numPr>
        <w:spacing w:before="120" w:after="120"/>
        <w:ind w:left="567" w:hanging="567"/>
      </w:pPr>
      <w:r w:rsidRPr="00745873">
        <w:t xml:space="preserve">Ja pretendents balstās uz citu personu iespējām, lai apliecinātu, ka pretendenta kvalifikācija atbilst Pretendenta kvalifikācijas prasībām, un/vai līguma izpildei plāno piesaistīt apakšuzņēmējus: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Personas, uz kuras iespējām pretendents balstās, un apakšuzņēmēju, kura v</w:t>
      </w:r>
      <w:r w:rsidR="0085185D">
        <w:rPr>
          <w:rFonts w:ascii="Times New Roman" w:hAnsi="Times New Roman"/>
          <w:sz w:val="24"/>
        </w:rPr>
        <w:t>eicamo darbu vērtība ir vismaz 1</w:t>
      </w:r>
      <w:r>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Tehniskais piedāvājums</w:t>
      </w:r>
    </w:p>
    <w:p w:rsidR="00C06C3A" w:rsidRDefault="003614FF" w:rsidP="00C06C3A">
      <w:pPr>
        <w:pStyle w:val="Rindkopa"/>
        <w:numPr>
          <w:ilvl w:val="1"/>
          <w:numId w:val="15"/>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w:t>
      </w:r>
    </w:p>
    <w:p w:rsidR="003614FF" w:rsidRPr="00C06C3A" w:rsidRDefault="00C06C3A" w:rsidP="00C06C3A">
      <w:pPr>
        <w:pStyle w:val="Rindkopa"/>
        <w:numPr>
          <w:ilvl w:val="1"/>
          <w:numId w:val="15"/>
        </w:numPr>
        <w:spacing w:before="120" w:after="120"/>
        <w:ind w:left="567" w:hanging="567"/>
        <w:rPr>
          <w:rFonts w:ascii="Times New Roman" w:hAnsi="Times New Roman"/>
          <w:sz w:val="24"/>
        </w:rPr>
      </w:pPr>
      <w:r w:rsidRPr="00C06C3A">
        <w:rPr>
          <w:rFonts w:ascii="Times New Roman" w:hAnsi="Times New Roman"/>
          <w:sz w:val="24"/>
        </w:rPr>
        <w:t>Tehniskais piedāvājums jāsagatavo tādā detalizācijas pakāpē, lai iepirkuma komisija varētu secināt pretendenta piedāvāto pakalpojumu izpildes kārtību un sasniedzamā rezultāta atbilstību pasūtītāja prasībām</w:t>
      </w:r>
      <w:r>
        <w:rPr>
          <w:rFonts w:ascii="Times New Roman" w:hAnsi="Times New Roman"/>
          <w:sz w:val="24"/>
        </w:rPr>
        <w:t>.</w:t>
      </w:r>
    </w:p>
    <w:p w:rsidR="003614FF" w:rsidRDefault="003614FF" w:rsidP="003614FF">
      <w:pPr>
        <w:rPr>
          <w:iCs/>
        </w:rPr>
      </w:pPr>
    </w:p>
    <w:p w:rsidR="003614FF" w:rsidRPr="00E96E53"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b/>
          <w:sz w:val="24"/>
          <w:szCs w:val="24"/>
        </w:rPr>
      </w:pPr>
      <w:r w:rsidRPr="00E96E53">
        <w:rPr>
          <w:rFonts w:ascii="Times New Roman" w:hAnsi="Times New Roman" w:cs="Times New Roman"/>
          <w:b/>
          <w:sz w:val="24"/>
          <w:szCs w:val="24"/>
        </w:rPr>
        <w:t>Finanšu piedāvājums</w:t>
      </w:r>
    </w:p>
    <w:p w:rsidR="00D364DB" w:rsidRDefault="00D364DB" w:rsidP="00D364DB">
      <w:pPr>
        <w:numPr>
          <w:ilvl w:val="1"/>
          <w:numId w:val="15"/>
        </w:numPr>
        <w:suppressAutoHyphens w:val="0"/>
        <w:spacing w:before="120" w:after="120"/>
        <w:ind w:left="567" w:hanging="567"/>
      </w:pPr>
      <w:r w:rsidRPr="00D364DB">
        <w:t xml:space="preserve">Finanšu piedāvājums </w:t>
      </w:r>
      <w:r w:rsidR="000D0954">
        <w:t>sagatavojama saskaņā ar Nolikumam pievienoto formu (skatīt B5 pielikumu).</w:t>
      </w:r>
      <w:r w:rsidRPr="00D364DB">
        <w:t xml:space="preserve"> </w:t>
      </w:r>
    </w:p>
    <w:p w:rsidR="00D364DB" w:rsidRPr="00322B26" w:rsidRDefault="00D364DB" w:rsidP="00D364DB">
      <w:pPr>
        <w:suppressAutoHyphens w:val="0"/>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AD5543" w:rsidRDefault="00E35BB6" w:rsidP="001B772F">
      <w:pPr>
        <w:numPr>
          <w:ilvl w:val="1"/>
          <w:numId w:val="15"/>
        </w:numPr>
        <w:tabs>
          <w:tab w:val="clear" w:pos="0"/>
          <w:tab w:val="num" w:pos="567"/>
        </w:tabs>
        <w:spacing w:before="120" w:after="120"/>
        <w:ind w:left="567" w:hanging="567"/>
      </w:pPr>
      <w:r w:rsidRPr="009031BA">
        <w:t xml:space="preserve">Apmaksa tiek veikta </w:t>
      </w:r>
      <w:r>
        <w:t>pēc darbu izpildes, 10 darba dienu laikā pēc pieņemšanas- nodošanas akta parakstīšanas un izpildītāja rēķina saņemšanas.</w:t>
      </w:r>
    </w:p>
    <w:p w:rsidR="003614FF" w:rsidRDefault="003614FF" w:rsidP="003614FF">
      <w:pPr>
        <w:numPr>
          <w:ilvl w:val="1"/>
          <w:numId w:val="15"/>
        </w:numPr>
        <w:tabs>
          <w:tab w:val="clear" w:pos="0"/>
          <w:tab w:val="num" w:pos="567"/>
        </w:tabs>
        <w:spacing w:before="120" w:after="120"/>
        <w:ind w:left="567" w:hanging="567"/>
      </w:pPr>
      <w:r>
        <w:t xml:space="preserve">Pretendentam, </w:t>
      </w:r>
      <w:r w:rsidR="00560C23">
        <w:t>kuram ir piešķirtas līguma slēgšanas tiesības, iepirkuma līgums ir jāsaskaņo ar Pasūtītāju ne vēlāk kā 5 (piecu) darba dienu laikā pēc Pasūtītāja elektroniska uzaicinājuma. Ja šajā punktā minētajā termiņā Pretendents nesniedz atbildi/komentārus par iepirkuma līgumu, tas tiek uzskatīts par Pretendenta atteikumu slēgt iepirkuma līgumu</w:t>
      </w:r>
      <w:r w:rsidRPr="009F699F">
        <w:t>.</w:t>
      </w:r>
    </w:p>
    <w:p w:rsidR="003614FF" w:rsidRDefault="003614FF" w:rsidP="003614FF">
      <w:pPr>
        <w:numPr>
          <w:ilvl w:val="1"/>
          <w:numId w:val="15"/>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1432E7" w:rsidRPr="00C27EEE" w:rsidRDefault="001432E7" w:rsidP="001432E7">
      <w:pPr>
        <w:spacing w:before="120" w:after="120"/>
        <w:ind w:left="567"/>
      </w:pPr>
    </w:p>
    <w:p w:rsidR="003614FF" w:rsidRDefault="003614FF" w:rsidP="00C06C3A">
      <w:pPr>
        <w:numPr>
          <w:ilvl w:val="0"/>
          <w:numId w:val="15"/>
        </w:numPr>
        <w:shd w:val="clear" w:color="auto" w:fill="C2D69B" w:themeFill="accent3" w:themeFillTint="99"/>
        <w:spacing w:before="120" w:after="60"/>
        <w:jc w:val="center"/>
      </w:pPr>
      <w:r>
        <w:rPr>
          <w:b/>
        </w:rPr>
        <w:t>Informācijas apmaiņa</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D364DB" w:rsidRDefault="00D364DB">
      <w:pPr>
        <w:suppressAutoHyphens w:val="0"/>
        <w:spacing w:after="200" w:line="276" w:lineRule="auto"/>
        <w:jc w:val="left"/>
        <w:rPr>
          <w:b/>
        </w:rPr>
      </w:pPr>
      <w:r>
        <w:rPr>
          <w:b/>
        </w:rPr>
        <w:br w:type="page"/>
      </w:r>
    </w:p>
    <w:p w:rsidR="00C06C3A" w:rsidRDefault="00C06C3A" w:rsidP="00425EA3">
      <w:pPr>
        <w:pStyle w:val="Punkts"/>
        <w:numPr>
          <w:ilvl w:val="0"/>
          <w:numId w:val="0"/>
        </w:numPr>
        <w:tabs>
          <w:tab w:val="left" w:pos="720"/>
        </w:tabs>
        <w:jc w:val="right"/>
        <w:rPr>
          <w:b w:val="0"/>
          <w:sz w:val="28"/>
          <w:szCs w:val="28"/>
        </w:rPr>
      </w:pPr>
      <w:bookmarkStart w:id="1" w:name="_Toc335864512"/>
      <w:r>
        <w:rPr>
          <w:rFonts w:ascii="Times New Roman" w:hAnsi="Times New Roman"/>
        </w:rPr>
        <w:t>A pielikums</w:t>
      </w:r>
      <w:bookmarkEnd w:id="1"/>
    </w:p>
    <w:p w:rsidR="003614FF" w:rsidRDefault="003614FF" w:rsidP="003614FF">
      <w:pPr>
        <w:spacing w:before="120" w:after="60"/>
        <w:rPr>
          <w:b/>
        </w:rPr>
      </w:pPr>
    </w:p>
    <w:p w:rsidR="00A13E39" w:rsidRPr="00A13E39" w:rsidRDefault="00C06C3A" w:rsidP="00A13E39">
      <w:pPr>
        <w:pStyle w:val="ListParagraph"/>
        <w:shd w:val="clear" w:color="auto" w:fill="C2D69B"/>
        <w:ind w:left="0"/>
        <w:jc w:val="center"/>
        <w:rPr>
          <w:rFonts w:ascii="Times New Roman" w:hAnsi="Times New Roman" w:cs="Times New Roman"/>
          <w:b/>
          <w:bCs/>
          <w:caps/>
          <w:sz w:val="28"/>
          <w:szCs w:val="28"/>
        </w:rPr>
      </w:pPr>
      <w:r w:rsidRPr="00C06C3A">
        <w:rPr>
          <w:rFonts w:ascii="Times New Roman" w:hAnsi="Times New Roman" w:cs="Times New Roman"/>
          <w:b/>
          <w:bCs/>
          <w:caps/>
          <w:sz w:val="28"/>
          <w:szCs w:val="28"/>
        </w:rPr>
        <w:t>TEHNISKĀ SPECIFIKĀCIJA</w:t>
      </w:r>
    </w:p>
    <w:p w:rsidR="00A13E39" w:rsidRDefault="00A13E39" w:rsidP="00A13E39">
      <w:pPr>
        <w:spacing w:before="120"/>
        <w:rPr>
          <w:b/>
        </w:rPr>
      </w:pPr>
    </w:p>
    <w:p w:rsidR="00A13E39" w:rsidRDefault="00A13E39" w:rsidP="00A13E39">
      <w:pPr>
        <w:spacing w:before="120"/>
      </w:pPr>
      <w:r w:rsidRPr="00175585">
        <w:rPr>
          <w:b/>
        </w:rPr>
        <w:t>Iepirkuma priekšmets</w:t>
      </w:r>
      <w:r w:rsidRPr="00175585">
        <w:t xml:space="preserve"> – Poligrāfisko pakalpoj</w:t>
      </w:r>
      <w:r>
        <w:t>umu sniegšana Ādažu novada domei</w:t>
      </w:r>
      <w:r w:rsidRPr="00175585">
        <w:t>. Āda</w:t>
      </w:r>
      <w:r>
        <w:t xml:space="preserve">žu novada domes informatīvā izdevuma “Ādažu Vēstis” un informatīvā pielikuma izgatavošana un piegāde. </w:t>
      </w:r>
    </w:p>
    <w:p w:rsidR="00425EA3" w:rsidRPr="00175585" w:rsidRDefault="00425EA3" w:rsidP="00A13E39">
      <w:pPr>
        <w:spacing w:before="120"/>
      </w:pPr>
    </w:p>
    <w:p w:rsidR="00A13E39" w:rsidRPr="00175585" w:rsidRDefault="00A13E39" w:rsidP="00A13E39">
      <w:pPr>
        <w:spacing w:before="120"/>
      </w:pPr>
      <w:r>
        <w:t>Iepirkuma ietvaros jāizdrukā</w:t>
      </w:r>
      <w:r w:rsidRPr="00175585">
        <w:t xml:space="preserve"> </w:t>
      </w:r>
      <w:r w:rsidRPr="00175585">
        <w:rPr>
          <w:b/>
        </w:rPr>
        <w:t>2 veidu izdevumi</w:t>
      </w:r>
      <w:r w:rsidRPr="00175585">
        <w:t>:</w:t>
      </w:r>
    </w:p>
    <w:p w:rsidR="00A13E39" w:rsidRPr="00175585" w:rsidRDefault="00A13E39" w:rsidP="00A13E39">
      <w:pPr>
        <w:spacing w:before="120"/>
      </w:pPr>
      <w:r w:rsidRPr="00175585">
        <w:t xml:space="preserve">1) Ādažu novada domes </w:t>
      </w:r>
      <w:r>
        <w:t>informatīvais izdevums “Ādažu Vēstis”. Izdevumā</w:t>
      </w:r>
      <w:r w:rsidRPr="00175585">
        <w:t xml:space="preserve"> tiks publicēta Ādažu novada domes obligāti publicējamā informācija (lēmumi, paziņojumi u.tml.), kā arī tematiskā informācija (sports, kultūra, izglītība, projekti, aktualitātes, </w:t>
      </w:r>
      <w:r>
        <w:t xml:space="preserve">noderīga </w:t>
      </w:r>
      <w:r w:rsidRPr="00175585">
        <w:t>informācija</w:t>
      </w:r>
      <w:r>
        <w:t>, novada kultūrvēsturiskais mantojums, intervijas</w:t>
      </w:r>
      <w:r w:rsidRPr="00175585">
        <w:t xml:space="preserve"> u.tml.). </w:t>
      </w:r>
      <w:r>
        <w:t xml:space="preserve">Informatīvais izdevums </w:t>
      </w:r>
      <w:r w:rsidRPr="00175585">
        <w:t>tiks</w:t>
      </w:r>
      <w:r>
        <w:t xml:space="preserve"> izdots katru mēnesi, izņemot augustu. Jūlijā iznāks apvienotais jūlija/augusta izdevums. </w:t>
      </w:r>
    </w:p>
    <w:p w:rsidR="00A13E39" w:rsidRPr="00175585" w:rsidRDefault="00A13E39" w:rsidP="00A13E39">
      <w:pPr>
        <w:spacing w:before="120"/>
      </w:pPr>
      <w:r w:rsidRPr="00175585">
        <w:t xml:space="preserve">2) Ādažu novada domes </w:t>
      </w:r>
      <w:r>
        <w:t>informatīvā izdevuma “Ādažu Vēstis” pielikums. Izdevuma</w:t>
      </w:r>
      <w:r w:rsidRPr="00175585">
        <w:t xml:space="preserve"> pielikumā tiks publicēti Ādažu novada domes saistošie noteikumi un to paskaidrojuma raksti, kā arī citi pašvaldības dokumenti. Pielikumi tiks izdoti </w:t>
      </w:r>
      <w:r>
        <w:t xml:space="preserve">atkarībā no nepieciešamo publicējamo dokumentu skaita. </w:t>
      </w:r>
    </w:p>
    <w:p w:rsidR="00A13E39" w:rsidRPr="00175585" w:rsidRDefault="00A13E39" w:rsidP="00A13E39">
      <w:pPr>
        <w:spacing w:before="120"/>
        <w:rPr>
          <w:b/>
        </w:rPr>
      </w:pPr>
    </w:p>
    <w:p w:rsidR="00A13E39" w:rsidRPr="00175585" w:rsidRDefault="00A13E39" w:rsidP="00A13E39">
      <w:pPr>
        <w:spacing w:before="120"/>
      </w:pPr>
      <w:r w:rsidRPr="00175585">
        <w:rPr>
          <w:b/>
        </w:rPr>
        <w:t>Darba uzdevums</w:t>
      </w:r>
      <w:r w:rsidRPr="00175585">
        <w:t xml:space="preserve"> paredz šādus pretendenta pienākumus:</w:t>
      </w:r>
    </w:p>
    <w:p w:rsidR="00A13E39" w:rsidRPr="00175585" w:rsidRDefault="00A13E39" w:rsidP="00A13E39">
      <w:pPr>
        <w:numPr>
          <w:ilvl w:val="0"/>
          <w:numId w:val="29"/>
        </w:numPr>
        <w:suppressAutoHyphens w:val="0"/>
        <w:spacing w:before="120"/>
      </w:pPr>
      <w:r>
        <w:t xml:space="preserve"> </w:t>
      </w:r>
      <w:r w:rsidRPr="00175585">
        <w:t>izdevumu iespiešanu, veikt krāsu korekciju, uzsākot darbu (iespieddarbi tiek nodrošināti augstā kvalitātē, krāsu neprecizitātes, paviršs izpildījums u.c. brāķi netiks pieņemti un atzīti par Līgumam atbilstošiem. Ja pasūtījums tiek piegādāts neatbilstošā kvalitātē, Pretendents ir atbildīgs par pasūtījuma otrreizēju izgatavošanu par saviem finanšu līdzekļiem);</w:t>
      </w:r>
    </w:p>
    <w:p w:rsidR="00A13E39" w:rsidRPr="00175585" w:rsidRDefault="00A13E39" w:rsidP="00A13E39">
      <w:pPr>
        <w:numPr>
          <w:ilvl w:val="0"/>
          <w:numId w:val="29"/>
        </w:numPr>
        <w:suppressAutoHyphens w:val="0"/>
        <w:spacing w:before="120"/>
      </w:pPr>
      <w:r w:rsidRPr="00175585">
        <w:t>izdevumu pēcapstrādi;</w:t>
      </w:r>
    </w:p>
    <w:p w:rsidR="00A13E39" w:rsidRPr="00175585" w:rsidRDefault="00A13E39" w:rsidP="00A13E39">
      <w:pPr>
        <w:numPr>
          <w:ilvl w:val="0"/>
          <w:numId w:val="29"/>
        </w:numPr>
        <w:suppressAutoHyphens w:val="0"/>
        <w:spacing w:before="120"/>
      </w:pPr>
      <w:r>
        <w:t xml:space="preserve"> </w:t>
      </w:r>
      <w:r w:rsidRPr="00175585">
        <w:t>izdevumu pakošanu transportēšanai drošā iepakojumā;</w:t>
      </w:r>
    </w:p>
    <w:p w:rsidR="00A13E39" w:rsidRPr="00175585" w:rsidRDefault="00A13E39" w:rsidP="00A13E39">
      <w:pPr>
        <w:numPr>
          <w:ilvl w:val="0"/>
          <w:numId w:val="29"/>
        </w:numPr>
        <w:suppressAutoHyphens w:val="0"/>
        <w:spacing w:before="120"/>
      </w:pPr>
      <w:r w:rsidRPr="00175585">
        <w:t xml:space="preserve">izdevumu piegādi (pasūtījums tiek nodots ar pieņemšanas – nodošanas aktu, kuru Pasūtītājs parakstīs piecu darba dienu </w:t>
      </w:r>
      <w:r>
        <w:t xml:space="preserve">laikā no pasūtījuma saņemšanas </w:t>
      </w:r>
      <w:r w:rsidRPr="00175585">
        <w:t>vai izteiks pamatotus iebildumus).</w:t>
      </w:r>
      <w:r>
        <w:t xml:space="preserve"> </w:t>
      </w:r>
    </w:p>
    <w:p w:rsidR="00A13E39" w:rsidRPr="00175585" w:rsidRDefault="00A13E39" w:rsidP="00A13E39">
      <w:pPr>
        <w:spacing w:before="120"/>
      </w:pPr>
    </w:p>
    <w:p w:rsidR="00A13E39" w:rsidRPr="00175585" w:rsidRDefault="00A13E39" w:rsidP="00A13E39">
      <w:pPr>
        <w:spacing w:before="120"/>
      </w:pPr>
      <w:r w:rsidRPr="00175585">
        <w:rPr>
          <w:b/>
        </w:rPr>
        <w:t>Tehniskā specifikācija</w:t>
      </w:r>
      <w:r w:rsidRPr="00175585">
        <w:t>:</w:t>
      </w:r>
    </w:p>
    <w:p w:rsidR="00A13E39" w:rsidRPr="00175585" w:rsidRDefault="00A13E39" w:rsidP="00A13E39">
      <w:pPr>
        <w:numPr>
          <w:ilvl w:val="0"/>
          <w:numId w:val="30"/>
        </w:numPr>
        <w:suppressAutoHyphens w:val="0"/>
        <w:spacing w:before="120"/>
        <w:ind w:left="426"/>
      </w:pPr>
      <w:r w:rsidRPr="00175585">
        <w:t xml:space="preserve">Ādažu novada domes </w:t>
      </w:r>
      <w:r>
        <w:t>informatīvais izdevums “</w:t>
      </w:r>
      <w:r w:rsidRPr="00175585">
        <w:t>Ādažu Vēstis”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662"/>
      </w:tblGrid>
      <w:tr w:rsidR="00A13E39" w:rsidRPr="005E08BD" w:rsidTr="00D164EB">
        <w:tc>
          <w:tcPr>
            <w:tcW w:w="2093" w:type="dxa"/>
          </w:tcPr>
          <w:p w:rsidR="00A13E39" w:rsidRPr="00175585" w:rsidRDefault="00A13E39" w:rsidP="00D164EB">
            <w:pPr>
              <w:spacing w:before="60" w:after="60"/>
            </w:pPr>
            <w:r w:rsidRPr="00175585">
              <w:t>Tirāža</w:t>
            </w:r>
          </w:p>
        </w:tc>
        <w:tc>
          <w:tcPr>
            <w:tcW w:w="6662" w:type="dxa"/>
          </w:tcPr>
          <w:p w:rsidR="00A13E39" w:rsidRPr="00175585" w:rsidRDefault="00A13E39" w:rsidP="00D164EB">
            <w:pPr>
              <w:spacing w:before="60" w:after="60"/>
            </w:pPr>
            <w:r>
              <w:t xml:space="preserve">4500 gab. </w:t>
            </w:r>
            <w:r w:rsidRPr="00175585">
              <w:t>mēnesī</w:t>
            </w:r>
            <w:r>
              <w:t xml:space="preserve"> </w:t>
            </w:r>
          </w:p>
        </w:tc>
      </w:tr>
      <w:tr w:rsidR="00A13E39" w:rsidRPr="005E08BD" w:rsidTr="00D164EB">
        <w:tc>
          <w:tcPr>
            <w:tcW w:w="2093" w:type="dxa"/>
          </w:tcPr>
          <w:p w:rsidR="00A13E39" w:rsidRPr="00175585" w:rsidRDefault="00A13E39" w:rsidP="00D164EB">
            <w:pPr>
              <w:spacing w:before="60" w:after="60"/>
            </w:pPr>
            <w:r w:rsidRPr="00175585">
              <w:t>Izmērs</w:t>
            </w:r>
          </w:p>
        </w:tc>
        <w:tc>
          <w:tcPr>
            <w:tcW w:w="6662" w:type="dxa"/>
          </w:tcPr>
          <w:p w:rsidR="00A13E39" w:rsidRPr="00175585" w:rsidRDefault="00A13E39" w:rsidP="00D164EB">
            <w:pPr>
              <w:spacing w:before="60" w:after="60"/>
            </w:pPr>
            <w:r>
              <w:t>Izdevuma</w:t>
            </w:r>
            <w:r w:rsidRPr="00175585">
              <w:t xml:space="preserve"> izmērs salocītā veidā: A4</w:t>
            </w:r>
          </w:p>
          <w:p w:rsidR="00A13E39" w:rsidRPr="00175585" w:rsidRDefault="00A13E39" w:rsidP="00D164EB">
            <w:pPr>
              <w:spacing w:before="60" w:after="60"/>
            </w:pPr>
            <w:r w:rsidRPr="00175585">
              <w:t>Izklājums iekšlapām: A3</w:t>
            </w:r>
          </w:p>
        </w:tc>
      </w:tr>
      <w:tr w:rsidR="00A13E39" w:rsidRPr="00631B71" w:rsidTr="00D164EB">
        <w:tc>
          <w:tcPr>
            <w:tcW w:w="2093" w:type="dxa"/>
          </w:tcPr>
          <w:p w:rsidR="00A13E39" w:rsidRPr="00F952D0" w:rsidRDefault="00A13E39" w:rsidP="00D164EB">
            <w:pPr>
              <w:spacing w:before="60" w:after="60"/>
            </w:pPr>
            <w:r w:rsidRPr="00F952D0">
              <w:t>Lapaspušu skaits</w:t>
            </w:r>
          </w:p>
        </w:tc>
        <w:tc>
          <w:tcPr>
            <w:tcW w:w="6662" w:type="dxa"/>
          </w:tcPr>
          <w:p w:rsidR="00A13E39" w:rsidRPr="00F952D0" w:rsidRDefault="00A13E39" w:rsidP="00D164EB">
            <w:pPr>
              <w:spacing w:before="60" w:after="60"/>
            </w:pPr>
            <w:r w:rsidRPr="00F952D0">
              <w:t>20 lpp. (</w:t>
            </w:r>
            <w:r>
              <w:t xml:space="preserve">8 </w:t>
            </w:r>
            <w:r w:rsidRPr="00F952D0">
              <w:t>mēneši), 24.lpp. (</w:t>
            </w:r>
            <w:r>
              <w:t>3</w:t>
            </w:r>
            <w:r w:rsidRPr="00F952D0">
              <w:t xml:space="preserve"> mēneši)</w:t>
            </w:r>
          </w:p>
        </w:tc>
      </w:tr>
      <w:tr w:rsidR="00A13E39" w:rsidRPr="00631B71" w:rsidTr="00D164EB">
        <w:tc>
          <w:tcPr>
            <w:tcW w:w="2093" w:type="dxa"/>
          </w:tcPr>
          <w:p w:rsidR="00A13E39" w:rsidRPr="00175585" w:rsidRDefault="00A13E39" w:rsidP="00D164EB">
            <w:pPr>
              <w:spacing w:before="60" w:after="60"/>
            </w:pPr>
            <w:r w:rsidRPr="00175585">
              <w:t xml:space="preserve">Druka </w:t>
            </w:r>
          </w:p>
        </w:tc>
        <w:tc>
          <w:tcPr>
            <w:tcW w:w="6662" w:type="dxa"/>
          </w:tcPr>
          <w:p w:rsidR="00A13E39" w:rsidRPr="00175585" w:rsidRDefault="00A13E39" w:rsidP="00D164EB">
            <w:pPr>
              <w:spacing w:before="60" w:after="60"/>
            </w:pPr>
            <w:r w:rsidRPr="00175585">
              <w:t>CMYK 4 + 4 + ofsetlaka</w:t>
            </w:r>
          </w:p>
        </w:tc>
      </w:tr>
      <w:tr w:rsidR="00A13E39" w:rsidRPr="00631B71" w:rsidTr="00D164EB">
        <w:tc>
          <w:tcPr>
            <w:tcW w:w="2093" w:type="dxa"/>
          </w:tcPr>
          <w:p w:rsidR="00A13E39" w:rsidRPr="00175585" w:rsidRDefault="00A13E39" w:rsidP="00D164EB">
            <w:pPr>
              <w:spacing w:before="60" w:after="60"/>
            </w:pPr>
            <w:r w:rsidRPr="00175585">
              <w:t xml:space="preserve">Papīrs </w:t>
            </w:r>
            <w:r>
              <w:t>(svars)</w:t>
            </w:r>
          </w:p>
        </w:tc>
        <w:tc>
          <w:tcPr>
            <w:tcW w:w="6662" w:type="dxa"/>
          </w:tcPr>
          <w:p w:rsidR="00A13E39" w:rsidRPr="00175585" w:rsidRDefault="00A13E39" w:rsidP="00D164EB">
            <w:pPr>
              <w:pStyle w:val="NormalWeb"/>
            </w:pPr>
            <w:r>
              <w:t>koksnes masu nesaturošs (vismaz 78 mikroni biezs) krītpapīrs, 90 gr/m2 -  Multi art silk vai ekvivalents*</w:t>
            </w:r>
          </w:p>
        </w:tc>
      </w:tr>
      <w:tr w:rsidR="00A13E39" w:rsidRPr="00DA4039" w:rsidTr="00D164EB">
        <w:tc>
          <w:tcPr>
            <w:tcW w:w="2093" w:type="dxa"/>
          </w:tcPr>
          <w:p w:rsidR="00A13E39" w:rsidRPr="00175585" w:rsidRDefault="00A13E39" w:rsidP="00D164EB">
            <w:pPr>
              <w:spacing w:before="60" w:after="60"/>
            </w:pPr>
            <w:r w:rsidRPr="00175585">
              <w:t>Pēcapstrāde</w:t>
            </w:r>
          </w:p>
        </w:tc>
        <w:tc>
          <w:tcPr>
            <w:tcW w:w="6662" w:type="dxa"/>
          </w:tcPr>
          <w:p w:rsidR="00A13E39" w:rsidRPr="00175585" w:rsidRDefault="00A13E39" w:rsidP="00D164EB">
            <w:pPr>
              <w:spacing w:before="60" w:after="60"/>
            </w:pPr>
            <w:r w:rsidRPr="00175585">
              <w:t>Sagriešana, kontrolēšana, locīšana, skavošana (2 skavas), sanešana, skaitīšana, pakošana.</w:t>
            </w:r>
          </w:p>
        </w:tc>
      </w:tr>
      <w:tr w:rsidR="00A13E39" w:rsidRPr="00DA4039" w:rsidTr="00D164EB">
        <w:tc>
          <w:tcPr>
            <w:tcW w:w="2093" w:type="dxa"/>
          </w:tcPr>
          <w:p w:rsidR="00A13E39" w:rsidRPr="00175585" w:rsidRDefault="00A13E39" w:rsidP="00D164EB">
            <w:pPr>
              <w:spacing w:before="60" w:after="60"/>
            </w:pPr>
            <w:r w:rsidRPr="00175585">
              <w:t xml:space="preserve">Izpildes laiks </w:t>
            </w:r>
          </w:p>
        </w:tc>
        <w:tc>
          <w:tcPr>
            <w:tcW w:w="6662" w:type="dxa"/>
          </w:tcPr>
          <w:p w:rsidR="00A13E39" w:rsidRPr="00175585" w:rsidRDefault="00A13E39" w:rsidP="00D164EB">
            <w:pPr>
              <w:spacing w:before="60" w:after="60"/>
            </w:pPr>
            <w:r>
              <w:t>Laikraksta izgatavošana un piegāde jāveic 2 dienu laikā pēc avīzes maketa saņemšanas.</w:t>
            </w:r>
          </w:p>
        </w:tc>
      </w:tr>
      <w:tr w:rsidR="00A13E39" w:rsidRPr="00175585" w:rsidTr="00D164EB">
        <w:tc>
          <w:tcPr>
            <w:tcW w:w="2093" w:type="dxa"/>
          </w:tcPr>
          <w:p w:rsidR="00A13E39" w:rsidRPr="00175585" w:rsidRDefault="00A13E39" w:rsidP="00D164EB">
            <w:pPr>
              <w:spacing w:before="60" w:after="60"/>
            </w:pPr>
            <w:r w:rsidRPr="00175585">
              <w:t>Izdošana</w:t>
            </w:r>
          </w:p>
        </w:tc>
        <w:tc>
          <w:tcPr>
            <w:tcW w:w="6662" w:type="dxa"/>
          </w:tcPr>
          <w:p w:rsidR="00A13E39" w:rsidRPr="00175585" w:rsidRDefault="00A13E39" w:rsidP="00D164EB">
            <w:pPr>
              <w:spacing w:before="60" w:after="60"/>
            </w:pPr>
            <w:r>
              <w:t>1 (viens) izdevums</w:t>
            </w:r>
            <w:r w:rsidRPr="00175585">
              <w:t xml:space="preserve"> mēnesī.</w:t>
            </w:r>
          </w:p>
        </w:tc>
      </w:tr>
      <w:tr w:rsidR="00A13E39" w:rsidRPr="00DA4039" w:rsidTr="00D164EB">
        <w:tc>
          <w:tcPr>
            <w:tcW w:w="2093" w:type="dxa"/>
          </w:tcPr>
          <w:p w:rsidR="00A13E39" w:rsidRPr="00175585" w:rsidRDefault="00A13E39" w:rsidP="00D164EB">
            <w:pPr>
              <w:spacing w:before="60" w:after="60"/>
            </w:pPr>
            <w:r w:rsidRPr="00175585">
              <w:t>Iepakojums</w:t>
            </w:r>
          </w:p>
        </w:tc>
        <w:tc>
          <w:tcPr>
            <w:tcW w:w="6662" w:type="dxa"/>
          </w:tcPr>
          <w:p w:rsidR="00A13E39" w:rsidRPr="00175585" w:rsidRDefault="00A13E39" w:rsidP="00D164EB">
            <w:pPr>
              <w:spacing w:before="60" w:after="60"/>
            </w:pPr>
            <w:r w:rsidRPr="00175585">
              <w:t>Laikraksts iepakota kastēs (ne mazāk kā 200 gab. kastē) ar norādītu kastes saturu (informācija par izdevumu, vienību skaitu iepakojumā).</w:t>
            </w:r>
            <w:r>
              <w:t xml:space="preserve"> </w:t>
            </w:r>
          </w:p>
        </w:tc>
      </w:tr>
      <w:tr w:rsidR="00A13E39" w:rsidRPr="00175585" w:rsidTr="00D164EB">
        <w:tc>
          <w:tcPr>
            <w:tcW w:w="2093" w:type="dxa"/>
          </w:tcPr>
          <w:p w:rsidR="00A13E39" w:rsidRPr="00175585" w:rsidRDefault="00A13E39" w:rsidP="00D164EB">
            <w:pPr>
              <w:spacing w:before="60" w:after="60"/>
            </w:pPr>
            <w:r w:rsidRPr="00175585">
              <w:t>Piegāde</w:t>
            </w:r>
          </w:p>
        </w:tc>
        <w:tc>
          <w:tcPr>
            <w:tcW w:w="6662" w:type="dxa"/>
          </w:tcPr>
          <w:p w:rsidR="00A13E39" w:rsidRPr="00175585" w:rsidRDefault="00A13E39" w:rsidP="00D164EB">
            <w:pPr>
              <w:spacing w:before="60" w:after="60"/>
            </w:pPr>
            <w:r w:rsidRPr="00175585">
              <w:t>Gaujas iela 33A, Ādaži, Ādažu novads</w:t>
            </w:r>
          </w:p>
        </w:tc>
      </w:tr>
    </w:tbl>
    <w:p w:rsidR="00A13E39" w:rsidRPr="00175585" w:rsidRDefault="00A13E39" w:rsidP="00A13E39">
      <w:pPr>
        <w:numPr>
          <w:ilvl w:val="0"/>
          <w:numId w:val="30"/>
        </w:numPr>
        <w:suppressAutoHyphens w:val="0"/>
        <w:spacing w:before="120"/>
      </w:pPr>
      <w:r w:rsidRPr="00175585">
        <w:t xml:space="preserve">Ādažu novada domes </w:t>
      </w:r>
      <w:r>
        <w:t>informatīvā izdevuma “</w:t>
      </w:r>
      <w:r w:rsidRPr="00175585">
        <w:t>Ādažu Vēstis” pielikums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6662"/>
      </w:tblGrid>
      <w:tr w:rsidR="00A13E39" w:rsidRPr="00175585" w:rsidTr="00D164EB">
        <w:tc>
          <w:tcPr>
            <w:tcW w:w="2093" w:type="dxa"/>
          </w:tcPr>
          <w:p w:rsidR="00A13E39" w:rsidRPr="00175585" w:rsidRDefault="00A13E39" w:rsidP="00D164EB">
            <w:pPr>
              <w:spacing w:before="60" w:after="60"/>
            </w:pPr>
            <w:r w:rsidRPr="00175585">
              <w:t>Tirāža</w:t>
            </w:r>
          </w:p>
        </w:tc>
        <w:tc>
          <w:tcPr>
            <w:tcW w:w="6662" w:type="dxa"/>
          </w:tcPr>
          <w:p w:rsidR="00A13E39" w:rsidRPr="00175585" w:rsidRDefault="00A13E39" w:rsidP="00D164EB">
            <w:pPr>
              <w:spacing w:before="60" w:after="60"/>
            </w:pPr>
            <w:r w:rsidRPr="00175585">
              <w:t xml:space="preserve">100 gab. </w:t>
            </w:r>
          </w:p>
        </w:tc>
      </w:tr>
      <w:tr w:rsidR="00A13E39" w:rsidRPr="00175585" w:rsidTr="00D164EB">
        <w:tc>
          <w:tcPr>
            <w:tcW w:w="2093" w:type="dxa"/>
          </w:tcPr>
          <w:p w:rsidR="00A13E39" w:rsidRPr="00175585" w:rsidRDefault="00A13E39" w:rsidP="00D164EB">
            <w:pPr>
              <w:spacing w:before="60" w:after="60"/>
            </w:pPr>
            <w:r w:rsidRPr="00175585">
              <w:t>Izmērs</w:t>
            </w:r>
          </w:p>
        </w:tc>
        <w:tc>
          <w:tcPr>
            <w:tcW w:w="6662" w:type="dxa"/>
          </w:tcPr>
          <w:p w:rsidR="00A13E39" w:rsidRPr="00175585" w:rsidRDefault="00A13E39" w:rsidP="00D164EB">
            <w:pPr>
              <w:spacing w:before="60" w:after="60"/>
            </w:pPr>
            <w:r w:rsidRPr="00175585">
              <w:t>Pielikuma izmērs salocītā veidā: A5</w:t>
            </w:r>
          </w:p>
          <w:p w:rsidR="00A13E39" w:rsidRPr="00175585" w:rsidRDefault="00A13E39" w:rsidP="00D164EB">
            <w:pPr>
              <w:spacing w:before="60" w:after="60"/>
            </w:pPr>
            <w:r w:rsidRPr="00175585">
              <w:t>Izklājums iekšlapām: A4</w:t>
            </w:r>
          </w:p>
        </w:tc>
      </w:tr>
      <w:tr w:rsidR="00A13E39" w:rsidRPr="00AB4F87" w:rsidTr="00D164EB">
        <w:tc>
          <w:tcPr>
            <w:tcW w:w="2093" w:type="dxa"/>
          </w:tcPr>
          <w:p w:rsidR="00A13E39" w:rsidRPr="00F952D0" w:rsidRDefault="00A13E39" w:rsidP="00D164EB">
            <w:pPr>
              <w:spacing w:before="60" w:after="60"/>
            </w:pPr>
            <w:r w:rsidRPr="00F952D0">
              <w:t>Lapaspušu skaits</w:t>
            </w:r>
          </w:p>
        </w:tc>
        <w:tc>
          <w:tcPr>
            <w:tcW w:w="6662" w:type="dxa"/>
          </w:tcPr>
          <w:p w:rsidR="00A13E39" w:rsidRPr="00F952D0" w:rsidRDefault="00A13E39" w:rsidP="00D164EB">
            <w:pPr>
              <w:spacing w:before="60" w:after="60"/>
            </w:pPr>
            <w:r>
              <w:t>4 x 28.lpp., 5 x 20.</w:t>
            </w:r>
            <w:r w:rsidRPr="00F952D0">
              <w:t xml:space="preserve">lpp., 2 x 32.lpp.  </w:t>
            </w:r>
          </w:p>
        </w:tc>
      </w:tr>
      <w:tr w:rsidR="00A13E39" w:rsidRPr="00AB4F87" w:rsidTr="00D164EB">
        <w:tc>
          <w:tcPr>
            <w:tcW w:w="2093" w:type="dxa"/>
          </w:tcPr>
          <w:p w:rsidR="00A13E39" w:rsidRPr="00175585" w:rsidRDefault="00A13E39" w:rsidP="00D164EB">
            <w:pPr>
              <w:spacing w:before="60" w:after="60"/>
            </w:pPr>
            <w:r w:rsidRPr="00175585">
              <w:t xml:space="preserve">Druka </w:t>
            </w:r>
          </w:p>
        </w:tc>
        <w:tc>
          <w:tcPr>
            <w:tcW w:w="6662" w:type="dxa"/>
          </w:tcPr>
          <w:p w:rsidR="00A13E39" w:rsidRPr="00175585" w:rsidRDefault="00A13E39" w:rsidP="00D164EB">
            <w:pPr>
              <w:spacing w:before="60" w:after="60"/>
            </w:pPr>
            <w:r w:rsidRPr="00175585">
              <w:t>1 + 1 + ofsetlaka</w:t>
            </w:r>
          </w:p>
        </w:tc>
      </w:tr>
      <w:tr w:rsidR="00A13E39" w:rsidRPr="00AB4F87" w:rsidTr="00D164EB">
        <w:tc>
          <w:tcPr>
            <w:tcW w:w="2093" w:type="dxa"/>
          </w:tcPr>
          <w:p w:rsidR="00A13E39" w:rsidRPr="00175585" w:rsidRDefault="00A13E39" w:rsidP="00D164EB">
            <w:pPr>
              <w:spacing w:before="60" w:after="60"/>
            </w:pPr>
            <w:r w:rsidRPr="00175585">
              <w:t xml:space="preserve">Papīrs </w:t>
            </w:r>
          </w:p>
        </w:tc>
        <w:tc>
          <w:tcPr>
            <w:tcW w:w="6662" w:type="dxa"/>
          </w:tcPr>
          <w:p w:rsidR="00A13E39" w:rsidRPr="00175585" w:rsidRDefault="00A13E39" w:rsidP="00D164EB">
            <w:pPr>
              <w:spacing w:before="60" w:after="60"/>
            </w:pPr>
            <w:r w:rsidRPr="00175585">
              <w:t>80 g/m</w:t>
            </w:r>
            <w:r w:rsidRPr="00175585">
              <w:rPr>
                <w:vertAlign w:val="superscript"/>
              </w:rPr>
              <w:t>2</w:t>
            </w:r>
            <w:r w:rsidRPr="00175585">
              <w:t xml:space="preserve"> matēts krītpapīrs.</w:t>
            </w:r>
          </w:p>
        </w:tc>
      </w:tr>
      <w:tr w:rsidR="00A13E39" w:rsidRPr="00DA4039" w:rsidTr="00D164EB">
        <w:tc>
          <w:tcPr>
            <w:tcW w:w="2093" w:type="dxa"/>
          </w:tcPr>
          <w:p w:rsidR="00A13E39" w:rsidRPr="00175585" w:rsidRDefault="00A13E39" w:rsidP="00D164EB">
            <w:pPr>
              <w:spacing w:before="60" w:after="60"/>
            </w:pPr>
            <w:r w:rsidRPr="00175585">
              <w:t>Pēcapstrāde</w:t>
            </w:r>
          </w:p>
        </w:tc>
        <w:tc>
          <w:tcPr>
            <w:tcW w:w="6662" w:type="dxa"/>
          </w:tcPr>
          <w:p w:rsidR="00A13E39" w:rsidRPr="00175585" w:rsidRDefault="00A13E39" w:rsidP="00D164EB">
            <w:pPr>
              <w:spacing w:before="60" w:after="60"/>
            </w:pPr>
            <w:r w:rsidRPr="00175585">
              <w:t>Sagriešana, kontrolēšana, locīšana, skavošana (2 skavas), sanešana, skaitīšana, pakošana.</w:t>
            </w:r>
          </w:p>
        </w:tc>
      </w:tr>
      <w:tr w:rsidR="00A13E39" w:rsidRPr="00175585" w:rsidTr="00D164EB">
        <w:tc>
          <w:tcPr>
            <w:tcW w:w="2093" w:type="dxa"/>
          </w:tcPr>
          <w:p w:rsidR="00A13E39" w:rsidRPr="00175585" w:rsidRDefault="00A13E39" w:rsidP="00D164EB">
            <w:pPr>
              <w:spacing w:before="60" w:after="60"/>
            </w:pPr>
            <w:r w:rsidRPr="00175585">
              <w:t>Izdošana</w:t>
            </w:r>
          </w:p>
        </w:tc>
        <w:tc>
          <w:tcPr>
            <w:tcW w:w="6662" w:type="dxa"/>
          </w:tcPr>
          <w:p w:rsidR="00A13E39" w:rsidRPr="00175585" w:rsidRDefault="00A13E39" w:rsidP="00D164EB">
            <w:pPr>
              <w:spacing w:before="60" w:after="60"/>
            </w:pPr>
            <w:r w:rsidRPr="00175585">
              <w:t>Lī</w:t>
            </w:r>
            <w:r>
              <w:t>dz 1 (vienam) pielikumam mēnesī</w:t>
            </w:r>
          </w:p>
        </w:tc>
      </w:tr>
      <w:tr w:rsidR="00A13E39" w:rsidRPr="00DA4039" w:rsidTr="00D164EB">
        <w:tc>
          <w:tcPr>
            <w:tcW w:w="2093" w:type="dxa"/>
          </w:tcPr>
          <w:p w:rsidR="00A13E39" w:rsidRPr="00175585" w:rsidRDefault="00A13E39" w:rsidP="00D164EB">
            <w:pPr>
              <w:spacing w:before="60" w:after="60"/>
            </w:pPr>
            <w:r w:rsidRPr="00175585">
              <w:t>Iepakojums</w:t>
            </w:r>
          </w:p>
        </w:tc>
        <w:tc>
          <w:tcPr>
            <w:tcW w:w="6662" w:type="dxa"/>
          </w:tcPr>
          <w:p w:rsidR="00A13E39" w:rsidRPr="00175585" w:rsidRDefault="00A13E39" w:rsidP="00D164EB">
            <w:pPr>
              <w:spacing w:before="60" w:after="60"/>
            </w:pPr>
            <w:r w:rsidRPr="00175585">
              <w:t>Pielikumi iepakoti vienā kastē ar norādītu kastes saturu (informācija par izdevumu, vienību skaitu iepakojumā).</w:t>
            </w:r>
          </w:p>
        </w:tc>
      </w:tr>
      <w:tr w:rsidR="00A13E39" w:rsidRPr="00175585" w:rsidTr="00D164EB">
        <w:tc>
          <w:tcPr>
            <w:tcW w:w="2093" w:type="dxa"/>
          </w:tcPr>
          <w:p w:rsidR="00A13E39" w:rsidRPr="00175585" w:rsidRDefault="00A13E39" w:rsidP="00D164EB">
            <w:pPr>
              <w:spacing w:before="60" w:after="60"/>
            </w:pPr>
            <w:r w:rsidRPr="00175585">
              <w:t>Piegāde</w:t>
            </w:r>
          </w:p>
        </w:tc>
        <w:tc>
          <w:tcPr>
            <w:tcW w:w="6662" w:type="dxa"/>
          </w:tcPr>
          <w:p w:rsidR="00A13E39" w:rsidRPr="00175585" w:rsidRDefault="00A13E39" w:rsidP="00D164EB">
            <w:pPr>
              <w:spacing w:before="60" w:after="60"/>
            </w:pPr>
            <w:r w:rsidRPr="00175585">
              <w:t>Gaujas iela 33A, Ādaži, Ādažu novads</w:t>
            </w:r>
          </w:p>
        </w:tc>
      </w:tr>
    </w:tbl>
    <w:p w:rsidR="00A13E39" w:rsidRDefault="00A13E39" w:rsidP="00A13E39"/>
    <w:p w:rsidR="00A13E39" w:rsidRPr="00E77DD5" w:rsidRDefault="00A13E39" w:rsidP="00A13E39">
      <w:r w:rsidRPr="00E77DD5">
        <w:t>*Izpildītājs nedrīkst pēc līguma noslēgšanas – tālākās sadarbības laikā mainīt papīra veidu.</w:t>
      </w:r>
    </w:p>
    <w:p w:rsidR="003614FF" w:rsidRDefault="003614FF" w:rsidP="003614FF">
      <w:pPr>
        <w:spacing w:before="120" w:after="60"/>
        <w:rPr>
          <w:b/>
        </w:rPr>
        <w:sectPr w:rsidR="003614FF" w:rsidSect="003153E1">
          <w:headerReference w:type="even" r:id="rId11"/>
          <w:headerReference w:type="default" r:id="rId12"/>
          <w:footerReference w:type="even" r:id="rId13"/>
          <w:footerReference w:type="default" r:id="rId14"/>
          <w:headerReference w:type="first" r:id="rId15"/>
          <w:footerReference w:type="first" r:id="rId16"/>
          <w:pgSz w:w="11906" w:h="16838"/>
          <w:pgMar w:top="567" w:right="1701" w:bottom="426" w:left="1701" w:header="720" w:footer="709" w:gutter="0"/>
          <w:cols w:space="720"/>
          <w:docGrid w:linePitch="360"/>
        </w:sectPr>
      </w:pPr>
    </w:p>
    <w:p w:rsidR="003614FF" w:rsidRDefault="003614FF" w:rsidP="00623A6E">
      <w:pPr>
        <w:ind w:right="175"/>
        <w:rPr>
          <w:b/>
          <w:sz w:val="28"/>
          <w:szCs w:val="28"/>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rsidR="003614FF" w:rsidRDefault="003614FF" w:rsidP="003614FF">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t>B1 pielikums: Pieteikuma dalībai iepirkumā veidne</w:t>
      </w:r>
      <w:bookmarkEnd w:id="3"/>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3153E1">
        <w:trPr>
          <w:trHeight w:val="80"/>
        </w:trPr>
        <w:tc>
          <w:tcPr>
            <w:tcW w:w="2404" w:type="dxa"/>
            <w:tcBorders>
              <w:top w:val="nil"/>
              <w:left w:val="nil"/>
              <w:bottom w:val="single" w:sz="4" w:space="0" w:color="auto"/>
              <w:right w:val="nil"/>
            </w:tcBorders>
          </w:tcPr>
          <w:p w:rsidR="003614FF" w:rsidRDefault="003614FF" w:rsidP="003153E1">
            <w:pPr>
              <w:jc w:val="center"/>
            </w:pPr>
          </w:p>
        </w:tc>
        <w:tc>
          <w:tcPr>
            <w:tcW w:w="3785" w:type="dxa"/>
            <w:tcBorders>
              <w:top w:val="nil"/>
              <w:left w:val="nil"/>
              <w:bottom w:val="nil"/>
              <w:right w:val="nil"/>
            </w:tcBorders>
          </w:tcPr>
          <w:p w:rsidR="003614FF" w:rsidRDefault="003614FF" w:rsidP="003153E1">
            <w:pPr>
              <w:jc w:val="center"/>
            </w:pPr>
          </w:p>
        </w:tc>
        <w:tc>
          <w:tcPr>
            <w:tcW w:w="3099" w:type="dxa"/>
            <w:tcBorders>
              <w:top w:val="nil"/>
              <w:left w:val="nil"/>
              <w:bottom w:val="single" w:sz="4" w:space="0" w:color="auto"/>
              <w:right w:val="nil"/>
            </w:tcBorders>
          </w:tcPr>
          <w:p w:rsidR="003614FF" w:rsidRDefault="003614FF" w:rsidP="003153E1">
            <w:pPr>
              <w:jc w:val="center"/>
            </w:pPr>
          </w:p>
        </w:tc>
      </w:tr>
      <w:tr w:rsidR="003614FF" w:rsidTr="003153E1">
        <w:tc>
          <w:tcPr>
            <w:tcW w:w="2404" w:type="dxa"/>
            <w:tcBorders>
              <w:top w:val="single" w:sz="4" w:space="0" w:color="auto"/>
              <w:left w:val="nil"/>
              <w:bottom w:val="nil"/>
              <w:right w:val="nil"/>
            </w:tcBorders>
            <w:hideMark/>
          </w:tcPr>
          <w:p w:rsidR="003614FF" w:rsidRDefault="003614FF" w:rsidP="003153E1">
            <w:pPr>
              <w:jc w:val="center"/>
            </w:pPr>
            <w:r>
              <w:t>sastādīšanas vieta</w:t>
            </w:r>
          </w:p>
        </w:tc>
        <w:tc>
          <w:tcPr>
            <w:tcW w:w="3785" w:type="dxa"/>
            <w:tcBorders>
              <w:top w:val="nil"/>
              <w:left w:val="nil"/>
              <w:bottom w:val="nil"/>
              <w:right w:val="nil"/>
            </w:tcBorders>
          </w:tcPr>
          <w:p w:rsidR="003614FF" w:rsidRDefault="003614FF" w:rsidP="003153E1">
            <w:pPr>
              <w:jc w:val="center"/>
            </w:pPr>
          </w:p>
        </w:tc>
        <w:tc>
          <w:tcPr>
            <w:tcW w:w="3099" w:type="dxa"/>
            <w:tcBorders>
              <w:top w:val="single" w:sz="4" w:space="0" w:color="auto"/>
              <w:left w:val="nil"/>
              <w:bottom w:val="nil"/>
              <w:right w:val="nil"/>
            </w:tcBorders>
            <w:hideMark/>
          </w:tcPr>
          <w:p w:rsidR="003614FF" w:rsidRDefault="003614FF" w:rsidP="003153E1">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3153E1">
        <w:trPr>
          <w:cantSplit/>
        </w:trPr>
        <w:tc>
          <w:tcPr>
            <w:tcW w:w="2508" w:type="dxa"/>
            <w:gridSpan w:val="2"/>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3153E1">
        <w:trPr>
          <w:cantSplit/>
        </w:trPr>
        <w:tc>
          <w:tcPr>
            <w:tcW w:w="2198" w:type="dxa"/>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3153E1">
        <w:trPr>
          <w:cantSplit/>
        </w:trPr>
        <w:tc>
          <w:tcPr>
            <w:tcW w:w="2198" w:type="dxa"/>
            <w:hideMark/>
          </w:tcPr>
          <w:p w:rsidR="003614FF" w:rsidRDefault="003614FF" w:rsidP="003153E1">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EB340A" w:rsidP="006370CF">
      <w:pPr>
        <w:suppressAutoHyphens w:val="0"/>
        <w:spacing w:after="200" w:line="276" w:lineRule="auto"/>
        <w:jc w:val="left"/>
      </w:pPr>
      <w:r>
        <w:br w:type="page"/>
      </w:r>
    </w:p>
    <w:p w:rsidR="003614FF" w:rsidRDefault="003614FF" w:rsidP="00E96E53">
      <w:pPr>
        <w:pStyle w:val="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4"/>
      <w:r>
        <w:rPr>
          <w:rFonts w:ascii="Times New Roman" w:hAnsi="Times New Roman"/>
        </w:rPr>
        <w:t>Izpildīto līgumu saraksta veidne</w:t>
      </w:r>
    </w:p>
    <w:p w:rsidR="003614FF" w:rsidRDefault="003614FF" w:rsidP="003614FF">
      <w:pPr>
        <w:pStyle w:val="Apakpunkts"/>
        <w:numPr>
          <w:ilvl w:val="0"/>
          <w:numId w:val="0"/>
        </w:numPr>
        <w:tabs>
          <w:tab w:val="left" w:pos="720"/>
        </w:tabs>
        <w:rPr>
          <w:rFonts w:ascii="Times New Roman" w:hAnsi="Times New Roman"/>
          <w:highlight w:val="green"/>
        </w:rPr>
      </w:pPr>
    </w:p>
    <w:p w:rsidR="003614FF" w:rsidRDefault="003614FF" w:rsidP="003614FF">
      <w:pPr>
        <w:jc w:val="center"/>
        <w:rPr>
          <w:b/>
          <w:sz w:val="20"/>
          <w:szCs w:val="20"/>
        </w:rPr>
      </w:pPr>
    </w:p>
    <w:p w:rsidR="003614FF" w:rsidRDefault="003614FF" w:rsidP="003614FF">
      <w:pPr>
        <w:jc w:val="center"/>
        <w:rPr>
          <w:b/>
          <w:sz w:val="20"/>
          <w:szCs w:val="20"/>
        </w:rPr>
      </w:pPr>
    </w:p>
    <w:p w:rsidR="003614FF" w:rsidRDefault="003614FF" w:rsidP="003614FF">
      <w:pPr>
        <w:jc w:val="center"/>
        <w:rPr>
          <w:b/>
          <w:sz w:val="20"/>
          <w:szCs w:val="20"/>
        </w:rPr>
      </w:pPr>
      <w:r>
        <w:rPr>
          <w:b/>
          <w:sz w:val="20"/>
          <w:szCs w:val="20"/>
        </w:rPr>
        <w:t>IZPILDĪTO LĪGUMU SARAKSTS</w:t>
      </w:r>
    </w:p>
    <w:p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rsidTr="003153E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Nr.</w:t>
            </w:r>
          </w:p>
          <w:p w:rsidR="003614FF" w:rsidRDefault="003614FF" w:rsidP="003153E1">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Pasūtītāja nosaukums </w:t>
            </w:r>
          </w:p>
          <w:p w:rsidR="003614FF" w:rsidRDefault="003614FF" w:rsidP="003153E1">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Pakalpojumu sniegšanas</w:t>
            </w:r>
          </w:p>
          <w:p w:rsidR="003614FF" w:rsidRDefault="003614FF" w:rsidP="003153E1">
            <w:pPr>
              <w:pStyle w:val="BodyText"/>
              <w:spacing w:after="0" w:line="276" w:lineRule="auto"/>
              <w:jc w:val="center"/>
              <w:rPr>
                <w:b/>
                <w:sz w:val="20"/>
                <w:lang w:eastAsia="en-US"/>
              </w:rPr>
            </w:pPr>
            <w:r>
              <w:rPr>
                <w:b/>
                <w:sz w:val="20"/>
                <w:lang w:eastAsia="en-US"/>
              </w:rPr>
              <w:t xml:space="preserve"> gads un mēnesis</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bl>
    <w:p w:rsidR="003614FF" w:rsidRDefault="003614FF" w:rsidP="003614FF">
      <w:pPr>
        <w:jc w:val="center"/>
        <w:rPr>
          <w:b/>
          <w:sz w:val="20"/>
          <w:szCs w:val="20"/>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b w:val="0"/>
        </w:rPr>
      </w:pPr>
    </w:p>
    <w:p w:rsidR="003614FF" w:rsidRDefault="003614FF" w:rsidP="003614FF">
      <w:pPr>
        <w:pStyle w:val="BodyText"/>
        <w:spacing w:after="0"/>
        <w:rPr>
          <w:sz w:val="20"/>
        </w:rPr>
      </w:pPr>
    </w:p>
    <w:p w:rsidR="003614FF" w:rsidRDefault="003614FF" w:rsidP="003614FF">
      <w:pPr>
        <w:pStyle w:val="BodyText"/>
        <w:spacing w:after="0"/>
        <w:rPr>
          <w:b/>
          <w:i/>
          <w:sz w:val="20"/>
        </w:rPr>
      </w:pPr>
      <w:r>
        <w:rPr>
          <w:b/>
          <w:i/>
          <w:sz w:val="20"/>
        </w:rPr>
        <w:t xml:space="preserve">Pielikumā: </w:t>
      </w:r>
    </w:p>
    <w:p w:rsidR="003614FF" w:rsidRDefault="003614FF" w:rsidP="003614FF">
      <w:pPr>
        <w:pStyle w:val="BodyText"/>
        <w:spacing w:after="0"/>
        <w:rPr>
          <w:sz w:val="20"/>
        </w:rPr>
      </w:pPr>
      <w:r>
        <w:rPr>
          <w:sz w:val="20"/>
        </w:rPr>
        <w:t>Atsauksme Nr.1 no  ________________</w:t>
      </w:r>
    </w:p>
    <w:p w:rsidR="003614FF" w:rsidRDefault="003614FF" w:rsidP="003614FF">
      <w:pPr>
        <w:pStyle w:val="BodyText"/>
        <w:spacing w:after="0"/>
        <w:rPr>
          <w:sz w:val="20"/>
        </w:rPr>
      </w:pPr>
      <w:r>
        <w:rPr>
          <w:sz w:val="20"/>
        </w:rPr>
        <w:t>Atsauksme Nr.2 no ________________</w:t>
      </w: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5" w:name="_Toc335864520"/>
      <w:r>
        <w:rPr>
          <w:rFonts w:ascii="Times New Roman" w:hAnsi="Times New Roman"/>
        </w:rPr>
        <w:t xml:space="preserve"> </w:t>
      </w:r>
    </w:p>
    <w:p w:rsidR="003614FF" w:rsidRDefault="00E96E53" w:rsidP="003614FF">
      <w:pPr>
        <w:pStyle w:val="Punkts"/>
        <w:numPr>
          <w:ilvl w:val="0"/>
          <w:numId w:val="0"/>
        </w:numPr>
        <w:tabs>
          <w:tab w:val="left" w:pos="720"/>
        </w:tabs>
        <w:jc w:val="right"/>
        <w:rPr>
          <w:rFonts w:ascii="Times New Roman" w:hAnsi="Times New Roman"/>
        </w:rPr>
      </w:pPr>
      <w:bookmarkStart w:id="6" w:name="_Toc335864521"/>
      <w:bookmarkEnd w:id="5"/>
      <w:r>
        <w:rPr>
          <w:rFonts w:ascii="Times New Roman" w:hAnsi="Times New Roman"/>
        </w:rPr>
        <w:t>B3</w:t>
      </w:r>
      <w:r w:rsidR="003614FF">
        <w:rPr>
          <w:rFonts w:ascii="Times New Roman" w:hAnsi="Times New Roman"/>
        </w:rPr>
        <w:t xml:space="preserve"> pielikums: Apakšuzņēmējiem nododamo darbu saraksta veidne</w:t>
      </w:r>
      <w:bookmarkEnd w:id="6"/>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jc w:val="center"/>
        <w:rPr>
          <w:b/>
          <w:sz w:val="20"/>
        </w:rPr>
      </w:pPr>
      <w:r>
        <w:rPr>
          <w:b/>
          <w:sz w:val="20"/>
        </w:rPr>
        <w:t xml:space="preserve">APAKŠUZŅĒMĒJIEM NODODAMO </w:t>
      </w:r>
      <w:r w:rsidRPr="008006BC">
        <w:rPr>
          <w:b/>
          <w:sz w:val="20"/>
        </w:rPr>
        <w:t>DARBU SARAKSTS</w:t>
      </w:r>
    </w:p>
    <w:p w:rsidR="003614FF" w:rsidRDefault="003614FF" w:rsidP="003614FF">
      <w:pPr>
        <w:jc w:val="center"/>
        <w:rPr>
          <w:b/>
          <w:sz w:val="20"/>
        </w:rPr>
      </w:pPr>
    </w:p>
    <w:p w:rsidR="003614FF" w:rsidRDefault="003614FF" w:rsidP="003614F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4"/>
        <w:gridCol w:w="4462"/>
      </w:tblGrid>
      <w:tr w:rsidR="003614FF" w:rsidTr="003153E1">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sz w:val="20"/>
                <w:szCs w:val="20"/>
              </w:rPr>
            </w:pPr>
            <w:r>
              <w:rPr>
                <w:b/>
                <w:sz w:val="20"/>
                <w:szCs w:val="20"/>
              </w:rPr>
              <w:t>Īss apakšuzņēmēja veicamo darbu apraksts</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bl>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7" w:name="_Toc219796517"/>
    </w:p>
    <w:p w:rsidR="003614FF" w:rsidRDefault="00E96E53" w:rsidP="003614FF">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t>B4</w:t>
      </w:r>
      <w:r w:rsidR="003614FF">
        <w:rPr>
          <w:rFonts w:ascii="Times New Roman" w:hAnsi="Times New Roman"/>
        </w:rPr>
        <w:t xml:space="preserve"> pielikums: Personas, uz kuras iespējām pretendents balstās, un apakšuzņēmēja, kura veicamo darbu vērtība ir vismaz 10 procenti no iepirkuma līguma summas,</w:t>
      </w:r>
      <w:bookmarkEnd w:id="8"/>
    </w:p>
    <w:p w:rsidR="003614FF" w:rsidRDefault="003614FF" w:rsidP="003614FF">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3614FF" w:rsidRDefault="003614FF" w:rsidP="003614FF">
      <w:pPr>
        <w:pStyle w:val="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614FF" w:rsidRDefault="003614FF" w:rsidP="003614FF">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614FF" w:rsidRDefault="003614FF" w:rsidP="003614FF">
      <w:pPr>
        <w:pStyle w:val="Rindkopa"/>
        <w:rPr>
          <w:rFonts w:ascii="Times New Roman" w:hAnsi="Times New Roman"/>
        </w:rPr>
      </w:pPr>
    </w:p>
    <w:p w:rsidR="003614FF" w:rsidRDefault="003614FF" w:rsidP="003614FF">
      <w:pPr>
        <w:pStyle w:val="Rindkopa"/>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614FF" w:rsidRDefault="003614FF" w:rsidP="003614FF">
      <w:pPr>
        <w:pStyle w:val="Apakpunkts"/>
        <w:numPr>
          <w:ilvl w:val="0"/>
          <w:numId w:val="0"/>
        </w:numPr>
        <w:tabs>
          <w:tab w:val="left" w:pos="720"/>
        </w:tabs>
        <w:rPr>
          <w:rFonts w:ascii="Times New Roman" w:hAnsi="Times New Roman"/>
        </w:rPr>
      </w:pPr>
    </w:p>
    <w:p w:rsidR="003614FF" w:rsidRPr="00D134FD" w:rsidRDefault="003614FF" w:rsidP="003614FF">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rsidR="003614FF" w:rsidRPr="00D134FD" w:rsidRDefault="003614FF" w:rsidP="003614FF">
      <w:pPr>
        <w:pStyle w:val="Rindkopa"/>
        <w:rPr>
          <w:rFonts w:ascii="Times New Roman" w:hAnsi="Times New Roman"/>
        </w:rPr>
      </w:pPr>
    </w:p>
    <w:p w:rsidR="003614FF" w:rsidRPr="00D134FD" w:rsidRDefault="003614FF" w:rsidP="003614FF">
      <w:pPr>
        <w:pStyle w:val="Rindkopa"/>
        <w:ind w:left="0" w:firstLine="720"/>
        <w:rPr>
          <w:rFonts w:ascii="Times New Roman" w:hAnsi="Times New Roman"/>
        </w:rPr>
      </w:pPr>
    </w:p>
    <w:p w:rsidR="003614FF" w:rsidRPr="00D134FD" w:rsidRDefault="003614FF" w:rsidP="003614FF">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rsidR="003614FF" w:rsidRPr="00D134FD" w:rsidRDefault="003614FF" w:rsidP="003614FF">
      <w:pPr>
        <w:tabs>
          <w:tab w:val="left" w:pos="720"/>
        </w:tabs>
        <w:suppressAutoHyphens w:val="0"/>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rsidR="003614FF" w:rsidRPr="00D134FD" w:rsidRDefault="003614FF" w:rsidP="003614FF">
      <w:pPr>
        <w:tabs>
          <w:tab w:val="left" w:pos="720"/>
        </w:tabs>
        <w:suppressAutoHyphens w:val="0"/>
        <w:ind w:left="851"/>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[veikt šādus darbus: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rsidR="003614FF" w:rsidRPr="00D134FD" w:rsidRDefault="003614FF" w:rsidP="003614FF">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3614FF" w:rsidRPr="00D134FD" w:rsidTr="003153E1">
        <w:tc>
          <w:tcPr>
            <w:tcW w:w="0" w:type="auto"/>
            <w:hideMark/>
          </w:tcPr>
          <w:p w:rsidR="003614FF" w:rsidRPr="00D134FD" w:rsidRDefault="003614FF" w:rsidP="003153E1">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3614FF" w:rsidRPr="00D134FD" w:rsidTr="003153E1">
        <w:tc>
          <w:tcPr>
            <w:tcW w:w="0" w:type="auto"/>
            <w:hideMark/>
          </w:tcPr>
          <w:p w:rsidR="003614FF" w:rsidRPr="00D134FD" w:rsidRDefault="003614FF" w:rsidP="003153E1">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color w:val="FF0000"/>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0D0954" w:rsidRDefault="000D0954">
      <w:pPr>
        <w:suppressAutoHyphens w:val="0"/>
        <w:spacing w:after="200" w:line="276" w:lineRule="auto"/>
        <w:jc w:val="left"/>
        <w:rPr>
          <w:rFonts w:eastAsia="Times New Roman"/>
          <w:b/>
          <w:sz w:val="20"/>
          <w:lang w:eastAsia="lv-LV"/>
        </w:rPr>
      </w:pPr>
      <w:r>
        <w:rPr>
          <w:rFonts w:eastAsia="Times New Roman"/>
          <w:b/>
          <w:sz w:val="20"/>
          <w:lang w:eastAsia="lv-LV"/>
        </w:rPr>
        <w:br w:type="page"/>
      </w:r>
    </w:p>
    <w:p w:rsidR="000D0954" w:rsidRPr="000D0954" w:rsidRDefault="000D0954" w:rsidP="000D0954">
      <w:pPr>
        <w:pStyle w:val="Punkts"/>
        <w:numPr>
          <w:ilvl w:val="0"/>
          <w:numId w:val="0"/>
        </w:numPr>
        <w:tabs>
          <w:tab w:val="left" w:pos="720"/>
        </w:tabs>
        <w:jc w:val="right"/>
        <w:rPr>
          <w:rFonts w:ascii="Times New Roman" w:hAnsi="Times New Roman"/>
        </w:rPr>
      </w:pPr>
      <w:r w:rsidRPr="000D0954">
        <w:rPr>
          <w:rFonts w:ascii="Times New Roman" w:hAnsi="Times New Roman"/>
        </w:rPr>
        <w:t>B5 pielikums: Finanšu piedāvājuma forma</w:t>
      </w:r>
    </w:p>
    <w:p w:rsidR="000D0954" w:rsidRPr="000D0954" w:rsidRDefault="000D0954" w:rsidP="000D0954">
      <w:pPr>
        <w:pStyle w:val="Apakpunkts"/>
        <w:numPr>
          <w:ilvl w:val="0"/>
          <w:numId w:val="0"/>
        </w:numPr>
        <w:ind w:left="851"/>
        <w:rPr>
          <w:rFonts w:ascii="Times New Roman" w:hAnsi="Times New Roman"/>
        </w:rPr>
      </w:pPr>
    </w:p>
    <w:p w:rsidR="000D0954" w:rsidRDefault="000D0954" w:rsidP="000D0954">
      <w:pPr>
        <w:spacing w:before="120"/>
        <w:jc w:val="center"/>
        <w:rPr>
          <w:b/>
          <w:sz w:val="28"/>
        </w:rPr>
      </w:pPr>
      <w:r w:rsidRPr="000D0954">
        <w:rPr>
          <w:b/>
          <w:sz w:val="28"/>
        </w:rPr>
        <w:t>Finanšu piedāvājuma forma</w:t>
      </w:r>
    </w:p>
    <w:p w:rsidR="00E2541F" w:rsidRPr="000D0954" w:rsidRDefault="00E2541F" w:rsidP="000D0954">
      <w:pPr>
        <w:spacing w:before="120"/>
        <w:jc w:val="center"/>
        <w:rPr>
          <w:b/>
          <w:sz w:val="28"/>
        </w:rPr>
      </w:pPr>
    </w:p>
    <w:p w:rsidR="000D0954" w:rsidRPr="000D0954" w:rsidRDefault="000D0954" w:rsidP="000D0954">
      <w:pPr>
        <w:pStyle w:val="ListParagraph"/>
        <w:numPr>
          <w:ilvl w:val="3"/>
          <w:numId w:val="29"/>
        </w:numPr>
        <w:spacing w:before="120"/>
        <w:rPr>
          <w:rFonts w:ascii="Times New Roman" w:hAnsi="Times New Roman" w:cs="Times New Roman"/>
          <w:b/>
        </w:rPr>
      </w:pPr>
      <w:r w:rsidRPr="000D0954">
        <w:rPr>
          <w:rFonts w:ascii="Times New Roman" w:hAnsi="Times New Roman" w:cs="Times New Roman"/>
          <w:b/>
        </w:rPr>
        <w:t>VIENĪBU CENAS</w:t>
      </w:r>
    </w:p>
    <w:tbl>
      <w:tblPr>
        <w:tblW w:w="6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228"/>
      </w:tblGrid>
      <w:tr w:rsidR="000D0954" w:rsidRPr="000D0954" w:rsidTr="00D164EB">
        <w:trPr>
          <w:tblHeader/>
          <w:jc w:val="center"/>
        </w:trPr>
        <w:tc>
          <w:tcPr>
            <w:tcW w:w="3369" w:type="dxa"/>
            <w:vAlign w:val="center"/>
          </w:tcPr>
          <w:p w:rsidR="000D0954" w:rsidRPr="000D0954" w:rsidRDefault="000D0954" w:rsidP="00D164EB">
            <w:pPr>
              <w:spacing w:before="60" w:after="60"/>
              <w:jc w:val="center"/>
              <w:rPr>
                <w:b/>
              </w:rPr>
            </w:pPr>
            <w:r w:rsidRPr="000D0954">
              <w:rPr>
                <w:b/>
              </w:rPr>
              <w:t>Darbu nosaukums</w:t>
            </w:r>
          </w:p>
        </w:tc>
        <w:tc>
          <w:tcPr>
            <w:tcW w:w="3228" w:type="dxa"/>
            <w:vAlign w:val="center"/>
          </w:tcPr>
          <w:p w:rsidR="000D0954" w:rsidRPr="000D0954" w:rsidRDefault="000D0954" w:rsidP="00D164EB">
            <w:pPr>
              <w:spacing w:before="60" w:after="60"/>
              <w:jc w:val="center"/>
              <w:rPr>
                <w:b/>
              </w:rPr>
            </w:pPr>
            <w:r w:rsidRPr="000D0954">
              <w:rPr>
                <w:b/>
              </w:rPr>
              <w:t>Viena izdevuma eksemplāra cena, EUR</w:t>
            </w:r>
          </w:p>
          <w:p w:rsidR="000D0954" w:rsidRPr="000D0954" w:rsidRDefault="000D0954" w:rsidP="00D164EB">
            <w:pPr>
              <w:spacing w:before="60" w:after="60"/>
              <w:jc w:val="center"/>
              <w:rPr>
                <w:b/>
              </w:rPr>
            </w:pPr>
            <w:r w:rsidRPr="000D0954">
              <w:rPr>
                <w:b/>
              </w:rPr>
              <w:t xml:space="preserve"> (bez PVN)</w:t>
            </w:r>
          </w:p>
        </w:tc>
      </w:tr>
      <w:tr w:rsidR="000D0954" w:rsidRPr="000D0954" w:rsidTr="00D164EB">
        <w:trPr>
          <w:tblHeader/>
          <w:jc w:val="center"/>
        </w:trPr>
        <w:tc>
          <w:tcPr>
            <w:tcW w:w="6597" w:type="dxa"/>
            <w:gridSpan w:val="2"/>
            <w:shd w:val="clear" w:color="auto" w:fill="D6E3BC" w:themeFill="accent3" w:themeFillTint="66"/>
            <w:vAlign w:val="center"/>
          </w:tcPr>
          <w:p w:rsidR="000D0954" w:rsidRPr="000D0954" w:rsidRDefault="000D0954" w:rsidP="000D0954">
            <w:pPr>
              <w:numPr>
                <w:ilvl w:val="0"/>
                <w:numId w:val="31"/>
              </w:numPr>
              <w:suppressAutoHyphens w:val="0"/>
              <w:spacing w:before="60" w:after="60"/>
              <w:rPr>
                <w:b/>
              </w:rPr>
            </w:pPr>
            <w:r w:rsidRPr="000D0954">
              <w:rPr>
                <w:b/>
              </w:rPr>
              <w:t>Viena mēneša pakalpojuma cena par Ādažu novada domes ikmēneša laikrakstu „Ādažu Vēstis”</w:t>
            </w:r>
          </w:p>
        </w:tc>
      </w:tr>
      <w:tr w:rsidR="000D0954" w:rsidRPr="000D0954" w:rsidTr="00D164EB">
        <w:trPr>
          <w:jc w:val="center"/>
        </w:trPr>
        <w:tc>
          <w:tcPr>
            <w:tcW w:w="3369" w:type="dxa"/>
          </w:tcPr>
          <w:p w:rsidR="000D0954" w:rsidRPr="000D0954" w:rsidRDefault="000D0954" w:rsidP="00D164EB">
            <w:pPr>
              <w:suppressAutoHyphens w:val="0"/>
              <w:spacing w:before="60" w:after="60"/>
            </w:pPr>
            <w:r w:rsidRPr="000D0954">
              <w:t xml:space="preserve">Izdevums ar 20 lpp. </w:t>
            </w:r>
          </w:p>
        </w:tc>
        <w:tc>
          <w:tcPr>
            <w:tcW w:w="3228" w:type="dxa"/>
            <w:vAlign w:val="center"/>
          </w:tcPr>
          <w:p w:rsidR="000D0954" w:rsidRPr="000D0954" w:rsidRDefault="000D0954" w:rsidP="00D164EB">
            <w:pPr>
              <w:spacing w:before="60" w:after="60"/>
              <w:jc w:val="right"/>
              <w:rPr>
                <w:b/>
              </w:rPr>
            </w:pPr>
          </w:p>
        </w:tc>
      </w:tr>
      <w:tr w:rsidR="000D0954" w:rsidRPr="000D0954" w:rsidTr="00D164EB">
        <w:trPr>
          <w:jc w:val="center"/>
        </w:trPr>
        <w:tc>
          <w:tcPr>
            <w:tcW w:w="3369" w:type="dxa"/>
          </w:tcPr>
          <w:p w:rsidR="000D0954" w:rsidRPr="000D0954" w:rsidRDefault="000D0954" w:rsidP="00D164EB">
            <w:pPr>
              <w:suppressAutoHyphens w:val="0"/>
              <w:spacing w:before="60" w:after="60"/>
            </w:pPr>
            <w:r w:rsidRPr="000D0954">
              <w:t xml:space="preserve">Izdevums ar 24 lpp. </w:t>
            </w:r>
          </w:p>
        </w:tc>
        <w:tc>
          <w:tcPr>
            <w:tcW w:w="3228" w:type="dxa"/>
            <w:vAlign w:val="center"/>
          </w:tcPr>
          <w:p w:rsidR="000D0954" w:rsidRPr="000D0954" w:rsidRDefault="000D0954" w:rsidP="00D164EB">
            <w:pPr>
              <w:spacing w:before="60" w:after="60"/>
              <w:jc w:val="right"/>
              <w:rPr>
                <w:b/>
              </w:rPr>
            </w:pPr>
          </w:p>
        </w:tc>
      </w:tr>
      <w:tr w:rsidR="000D0954" w:rsidRPr="000D0954" w:rsidTr="00D164EB">
        <w:trPr>
          <w:jc w:val="center"/>
        </w:trPr>
        <w:tc>
          <w:tcPr>
            <w:tcW w:w="6597" w:type="dxa"/>
            <w:gridSpan w:val="2"/>
            <w:shd w:val="clear" w:color="auto" w:fill="D6E3BC" w:themeFill="accent3" w:themeFillTint="66"/>
          </w:tcPr>
          <w:p w:rsidR="000D0954" w:rsidRPr="000D0954" w:rsidRDefault="000D0954" w:rsidP="000D0954">
            <w:pPr>
              <w:numPr>
                <w:ilvl w:val="0"/>
                <w:numId w:val="31"/>
              </w:numPr>
              <w:suppressAutoHyphens w:val="0"/>
              <w:spacing w:before="60" w:after="60"/>
              <w:rPr>
                <w:b/>
              </w:rPr>
            </w:pPr>
            <w:r w:rsidRPr="000D0954">
              <w:rPr>
                <w:b/>
              </w:rPr>
              <w:t>Viena mēneša pakalpojuma cena par Ādažu novada domes ikmēneša laikraksta „Ādažu Vēstis” pielikumu</w:t>
            </w:r>
          </w:p>
        </w:tc>
      </w:tr>
      <w:tr w:rsidR="000D0954" w:rsidRPr="000D0954" w:rsidTr="00D164EB">
        <w:trPr>
          <w:jc w:val="center"/>
        </w:trPr>
        <w:tc>
          <w:tcPr>
            <w:tcW w:w="3369" w:type="dxa"/>
          </w:tcPr>
          <w:p w:rsidR="000D0954" w:rsidRPr="000D0954" w:rsidRDefault="000D0954" w:rsidP="00D164EB">
            <w:pPr>
              <w:suppressAutoHyphens w:val="0"/>
              <w:spacing w:before="60" w:after="60"/>
            </w:pPr>
            <w:r w:rsidRPr="000D0954">
              <w:t>Izdevums ar 20 lpp.</w:t>
            </w:r>
          </w:p>
        </w:tc>
        <w:tc>
          <w:tcPr>
            <w:tcW w:w="3228" w:type="dxa"/>
            <w:vAlign w:val="center"/>
          </w:tcPr>
          <w:p w:rsidR="000D0954" w:rsidRPr="000D0954" w:rsidRDefault="000D0954" w:rsidP="00D164EB">
            <w:pPr>
              <w:spacing w:before="60" w:after="60"/>
              <w:jc w:val="right"/>
              <w:rPr>
                <w:b/>
              </w:rPr>
            </w:pPr>
          </w:p>
        </w:tc>
      </w:tr>
      <w:tr w:rsidR="000D0954" w:rsidRPr="000D0954" w:rsidTr="00D164EB">
        <w:trPr>
          <w:jc w:val="center"/>
        </w:trPr>
        <w:tc>
          <w:tcPr>
            <w:tcW w:w="3369" w:type="dxa"/>
          </w:tcPr>
          <w:p w:rsidR="000D0954" w:rsidRPr="000D0954" w:rsidRDefault="000D0954" w:rsidP="00D164EB">
            <w:pPr>
              <w:suppressAutoHyphens w:val="0"/>
              <w:spacing w:before="60" w:after="60"/>
            </w:pPr>
            <w:r w:rsidRPr="000D0954">
              <w:t>Izdevums ar 28 lpp.</w:t>
            </w:r>
          </w:p>
        </w:tc>
        <w:tc>
          <w:tcPr>
            <w:tcW w:w="3228" w:type="dxa"/>
            <w:vAlign w:val="center"/>
          </w:tcPr>
          <w:p w:rsidR="000D0954" w:rsidRPr="000D0954" w:rsidRDefault="000D0954" w:rsidP="00D164EB">
            <w:pPr>
              <w:spacing w:before="60" w:after="60"/>
              <w:jc w:val="right"/>
              <w:rPr>
                <w:b/>
              </w:rPr>
            </w:pPr>
          </w:p>
        </w:tc>
      </w:tr>
      <w:tr w:rsidR="000D0954" w:rsidRPr="000D0954" w:rsidTr="00D164EB">
        <w:trPr>
          <w:jc w:val="center"/>
        </w:trPr>
        <w:tc>
          <w:tcPr>
            <w:tcW w:w="3369" w:type="dxa"/>
          </w:tcPr>
          <w:p w:rsidR="000D0954" w:rsidRPr="000D0954" w:rsidRDefault="000D0954" w:rsidP="00D164EB">
            <w:pPr>
              <w:suppressAutoHyphens w:val="0"/>
              <w:spacing w:before="60" w:after="60"/>
            </w:pPr>
            <w:r w:rsidRPr="000D0954">
              <w:t>Izdevums par 32 lpp.</w:t>
            </w:r>
          </w:p>
        </w:tc>
        <w:tc>
          <w:tcPr>
            <w:tcW w:w="3228" w:type="dxa"/>
            <w:vAlign w:val="center"/>
          </w:tcPr>
          <w:p w:rsidR="000D0954" w:rsidRPr="000D0954" w:rsidRDefault="000D0954" w:rsidP="00D164EB">
            <w:pPr>
              <w:spacing w:before="60" w:after="60"/>
              <w:jc w:val="right"/>
              <w:rPr>
                <w:b/>
              </w:rPr>
            </w:pPr>
          </w:p>
        </w:tc>
      </w:tr>
    </w:tbl>
    <w:p w:rsidR="00E2541F" w:rsidRDefault="00E2541F" w:rsidP="00E2541F">
      <w:pPr>
        <w:pStyle w:val="ListParagraph"/>
        <w:spacing w:before="120"/>
        <w:ind w:left="2880"/>
        <w:rPr>
          <w:rFonts w:ascii="Times New Roman" w:hAnsi="Times New Roman" w:cs="Times New Roman"/>
          <w:b/>
        </w:rPr>
      </w:pPr>
    </w:p>
    <w:p w:rsidR="000D0954" w:rsidRPr="00E2541F" w:rsidRDefault="000D0954" w:rsidP="00E2541F">
      <w:pPr>
        <w:pStyle w:val="ListParagraph"/>
        <w:numPr>
          <w:ilvl w:val="3"/>
          <w:numId w:val="29"/>
        </w:numPr>
        <w:spacing w:before="120"/>
        <w:rPr>
          <w:rFonts w:ascii="Times New Roman" w:hAnsi="Times New Roman" w:cs="Times New Roman"/>
          <w:b/>
        </w:rPr>
      </w:pPr>
      <w:r w:rsidRPr="00E2541F">
        <w:rPr>
          <w:rFonts w:ascii="Times New Roman" w:hAnsi="Times New Roman" w:cs="Times New Roman"/>
          <w:b/>
        </w:rPr>
        <w:t>KOPĒJĀ LĪGUMCENA</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559"/>
        <w:gridCol w:w="1418"/>
        <w:gridCol w:w="1417"/>
        <w:gridCol w:w="1527"/>
      </w:tblGrid>
      <w:tr w:rsidR="000D0954" w:rsidRPr="000D0954" w:rsidTr="00D164EB">
        <w:tc>
          <w:tcPr>
            <w:tcW w:w="9148" w:type="dxa"/>
            <w:gridSpan w:val="5"/>
            <w:shd w:val="clear" w:color="auto" w:fill="D6E3BC" w:themeFill="accent3" w:themeFillTint="66"/>
          </w:tcPr>
          <w:p w:rsidR="000D0954" w:rsidRPr="000D0954" w:rsidRDefault="000D0954" w:rsidP="00D164EB">
            <w:pPr>
              <w:pStyle w:val="ListParagraph"/>
              <w:suppressAutoHyphens w:val="0"/>
              <w:spacing w:before="60" w:after="60"/>
              <w:rPr>
                <w:rFonts w:ascii="Times New Roman" w:hAnsi="Times New Roman" w:cs="Times New Roman"/>
                <w:b/>
              </w:rPr>
            </w:pPr>
            <w:r w:rsidRPr="000D0954">
              <w:rPr>
                <w:rFonts w:ascii="Times New Roman" w:hAnsi="Times New Roman" w:cs="Times New Roman"/>
                <w:b/>
              </w:rPr>
              <w:t xml:space="preserve">1. Ādažu novada domes ikmēneša laikraksts „Ādažu Vēstis” </w:t>
            </w:r>
          </w:p>
        </w:tc>
      </w:tr>
      <w:tr w:rsidR="000D0954" w:rsidRPr="000D0954" w:rsidTr="00D164EB">
        <w:tc>
          <w:tcPr>
            <w:tcW w:w="3227" w:type="dxa"/>
            <w:shd w:val="clear" w:color="auto" w:fill="FFFFFF" w:themeFill="background1"/>
          </w:tcPr>
          <w:p w:rsidR="000D0954" w:rsidRPr="000D0954" w:rsidRDefault="000D0954" w:rsidP="00D164EB">
            <w:pPr>
              <w:pStyle w:val="ListParagraph"/>
              <w:suppressAutoHyphens w:val="0"/>
              <w:spacing w:before="60" w:after="60"/>
              <w:rPr>
                <w:rFonts w:ascii="Times New Roman" w:hAnsi="Times New Roman" w:cs="Times New Roman"/>
                <w:b/>
              </w:rPr>
            </w:pPr>
          </w:p>
        </w:tc>
        <w:tc>
          <w:tcPr>
            <w:tcW w:w="1559" w:type="dxa"/>
            <w:shd w:val="clear" w:color="auto" w:fill="EAF1DD" w:themeFill="accent3" w:themeFillTint="33"/>
          </w:tcPr>
          <w:p w:rsidR="000D0954" w:rsidRPr="000D0954" w:rsidRDefault="000D0954" w:rsidP="00D164EB">
            <w:pPr>
              <w:suppressAutoHyphens w:val="0"/>
              <w:jc w:val="center"/>
            </w:pPr>
            <w:r w:rsidRPr="000D0954">
              <w:t>Eksemplāru skaits</w:t>
            </w:r>
          </w:p>
        </w:tc>
        <w:tc>
          <w:tcPr>
            <w:tcW w:w="1418" w:type="dxa"/>
            <w:shd w:val="clear" w:color="auto" w:fill="EAF1DD" w:themeFill="accent3" w:themeFillTint="33"/>
          </w:tcPr>
          <w:p w:rsidR="000D0954" w:rsidRPr="000D0954" w:rsidRDefault="000D0954" w:rsidP="00D164EB">
            <w:pPr>
              <w:suppressAutoHyphens w:val="0"/>
              <w:ind w:left="34" w:hanging="34"/>
              <w:jc w:val="center"/>
            </w:pPr>
            <w:r w:rsidRPr="000D0954">
              <w:t>Izdevumu skaits vienā gadā</w:t>
            </w:r>
          </w:p>
        </w:tc>
        <w:tc>
          <w:tcPr>
            <w:tcW w:w="1417" w:type="dxa"/>
            <w:shd w:val="clear" w:color="auto" w:fill="EAF1DD" w:themeFill="accent3" w:themeFillTint="33"/>
          </w:tcPr>
          <w:p w:rsidR="000D0954" w:rsidRPr="000D0954" w:rsidRDefault="000D0954" w:rsidP="00D164EB">
            <w:pPr>
              <w:suppressAutoHyphens w:val="0"/>
              <w:jc w:val="center"/>
            </w:pPr>
            <w:r w:rsidRPr="000D0954">
              <w:t>Izmaksas</w:t>
            </w:r>
          </w:p>
          <w:p w:rsidR="000D0954" w:rsidRPr="000D0954" w:rsidRDefault="000D0954" w:rsidP="00D164EB">
            <w:pPr>
              <w:suppressAutoHyphens w:val="0"/>
              <w:jc w:val="center"/>
            </w:pPr>
            <w:r w:rsidRPr="000D0954">
              <w:t>12 mēnešu</w:t>
            </w:r>
          </w:p>
          <w:p w:rsidR="000D0954" w:rsidRPr="000D0954" w:rsidRDefault="000D0954" w:rsidP="00D164EB">
            <w:pPr>
              <w:suppressAutoHyphens w:val="0"/>
              <w:jc w:val="center"/>
            </w:pPr>
            <w:r w:rsidRPr="000D0954">
              <w:t>Periodā</w:t>
            </w:r>
          </w:p>
          <w:p w:rsidR="000D0954" w:rsidRPr="000D0954" w:rsidRDefault="000D0954" w:rsidP="00D164EB">
            <w:pPr>
              <w:suppressAutoHyphens w:val="0"/>
              <w:jc w:val="center"/>
            </w:pPr>
            <w:r w:rsidRPr="000D0954">
              <w:t>(bez PVN)</w:t>
            </w:r>
          </w:p>
        </w:tc>
        <w:tc>
          <w:tcPr>
            <w:tcW w:w="1527" w:type="dxa"/>
            <w:shd w:val="clear" w:color="auto" w:fill="EAF1DD" w:themeFill="accent3" w:themeFillTint="33"/>
          </w:tcPr>
          <w:p w:rsidR="000D0954" w:rsidRPr="000D0954" w:rsidRDefault="000D0954" w:rsidP="00D164EB">
            <w:pPr>
              <w:suppressAutoHyphens w:val="0"/>
              <w:jc w:val="center"/>
            </w:pPr>
            <w:r w:rsidRPr="000D0954">
              <w:t>Izmaksas</w:t>
            </w:r>
          </w:p>
          <w:p w:rsidR="000D0954" w:rsidRPr="000D0954" w:rsidRDefault="000D0954" w:rsidP="00D164EB">
            <w:pPr>
              <w:suppressAutoHyphens w:val="0"/>
              <w:jc w:val="center"/>
            </w:pPr>
            <w:r w:rsidRPr="000D0954">
              <w:t>24 mēnešu</w:t>
            </w:r>
          </w:p>
          <w:p w:rsidR="000D0954" w:rsidRPr="000D0954" w:rsidRDefault="000D0954" w:rsidP="00D164EB">
            <w:pPr>
              <w:suppressAutoHyphens w:val="0"/>
              <w:jc w:val="center"/>
            </w:pPr>
            <w:r w:rsidRPr="000D0954">
              <w:t>Periodā</w:t>
            </w:r>
          </w:p>
          <w:p w:rsidR="000D0954" w:rsidRPr="000D0954" w:rsidRDefault="000D0954" w:rsidP="00D164EB">
            <w:pPr>
              <w:suppressAutoHyphens w:val="0"/>
              <w:jc w:val="center"/>
            </w:pPr>
            <w:r w:rsidRPr="000D0954">
              <w:t>(bez PVN)</w:t>
            </w:r>
          </w:p>
        </w:tc>
      </w:tr>
      <w:tr w:rsidR="000D0954" w:rsidRPr="000D0954" w:rsidTr="00D164EB">
        <w:trPr>
          <w:trHeight w:val="570"/>
        </w:trPr>
        <w:tc>
          <w:tcPr>
            <w:tcW w:w="3227" w:type="dxa"/>
          </w:tcPr>
          <w:p w:rsidR="000D0954" w:rsidRPr="000D0954" w:rsidRDefault="000D0954" w:rsidP="00D164EB">
            <w:pPr>
              <w:suppressAutoHyphens w:val="0"/>
              <w:spacing w:before="60" w:after="60"/>
            </w:pPr>
            <w:r w:rsidRPr="000D0954">
              <w:t xml:space="preserve">Izdevums ar 20 lpp. </w:t>
            </w:r>
          </w:p>
        </w:tc>
        <w:tc>
          <w:tcPr>
            <w:tcW w:w="1559" w:type="dxa"/>
            <w:vAlign w:val="center"/>
          </w:tcPr>
          <w:p w:rsidR="000D0954" w:rsidRPr="000D0954" w:rsidRDefault="001F6C7B" w:rsidP="00D164EB">
            <w:pPr>
              <w:spacing w:before="60" w:after="60"/>
              <w:jc w:val="center"/>
            </w:pPr>
            <w:r>
              <w:t>45</w:t>
            </w:r>
            <w:r w:rsidR="000D0954" w:rsidRPr="000D0954">
              <w:t>00 gb.</w:t>
            </w:r>
          </w:p>
        </w:tc>
        <w:tc>
          <w:tcPr>
            <w:tcW w:w="1418" w:type="dxa"/>
            <w:vAlign w:val="center"/>
          </w:tcPr>
          <w:p w:rsidR="000D0954" w:rsidRPr="000D0954" w:rsidRDefault="000D0954" w:rsidP="00D164EB">
            <w:pPr>
              <w:spacing w:before="60" w:after="60"/>
              <w:jc w:val="center"/>
              <w:rPr>
                <w:b/>
              </w:rPr>
            </w:pPr>
            <w:r w:rsidRPr="000D0954">
              <w:rPr>
                <w:b/>
              </w:rPr>
              <w:t>8</w:t>
            </w:r>
          </w:p>
        </w:tc>
        <w:tc>
          <w:tcPr>
            <w:tcW w:w="1417" w:type="dxa"/>
            <w:vAlign w:val="center"/>
          </w:tcPr>
          <w:p w:rsidR="000D0954" w:rsidRPr="000D0954" w:rsidRDefault="000D0954" w:rsidP="00D164EB">
            <w:pPr>
              <w:spacing w:before="60" w:after="60"/>
              <w:jc w:val="right"/>
              <w:rPr>
                <w:b/>
              </w:rPr>
            </w:pPr>
          </w:p>
        </w:tc>
        <w:tc>
          <w:tcPr>
            <w:tcW w:w="1527" w:type="dxa"/>
            <w:vAlign w:val="center"/>
          </w:tcPr>
          <w:p w:rsidR="000D0954" w:rsidRPr="000D0954" w:rsidRDefault="000D0954" w:rsidP="00D164EB">
            <w:pPr>
              <w:spacing w:before="60" w:after="60"/>
              <w:jc w:val="right"/>
              <w:rPr>
                <w:b/>
              </w:rPr>
            </w:pPr>
          </w:p>
        </w:tc>
      </w:tr>
      <w:tr w:rsidR="000D0954" w:rsidRPr="000D0954" w:rsidTr="00D164EB">
        <w:trPr>
          <w:trHeight w:val="705"/>
        </w:trPr>
        <w:tc>
          <w:tcPr>
            <w:tcW w:w="3227" w:type="dxa"/>
          </w:tcPr>
          <w:p w:rsidR="000D0954" w:rsidRPr="000D0954" w:rsidRDefault="000D0954" w:rsidP="00D164EB">
            <w:pPr>
              <w:suppressAutoHyphens w:val="0"/>
              <w:spacing w:before="60" w:after="60"/>
            </w:pPr>
            <w:r w:rsidRPr="000D0954">
              <w:t xml:space="preserve">Izdevums ar 24 lpp. </w:t>
            </w:r>
          </w:p>
        </w:tc>
        <w:tc>
          <w:tcPr>
            <w:tcW w:w="1559" w:type="dxa"/>
            <w:vAlign w:val="center"/>
          </w:tcPr>
          <w:p w:rsidR="000D0954" w:rsidRPr="000D0954" w:rsidRDefault="001F6C7B" w:rsidP="00D164EB">
            <w:pPr>
              <w:spacing w:before="60" w:after="60"/>
              <w:jc w:val="center"/>
            </w:pPr>
            <w:r>
              <w:t>45</w:t>
            </w:r>
            <w:r w:rsidR="000D0954" w:rsidRPr="000D0954">
              <w:t>00 gb.</w:t>
            </w:r>
          </w:p>
        </w:tc>
        <w:tc>
          <w:tcPr>
            <w:tcW w:w="1418" w:type="dxa"/>
            <w:vAlign w:val="center"/>
          </w:tcPr>
          <w:p w:rsidR="000D0954" w:rsidRPr="000D0954" w:rsidRDefault="000D0954" w:rsidP="00D164EB">
            <w:pPr>
              <w:spacing w:before="60" w:after="60"/>
              <w:jc w:val="center"/>
              <w:rPr>
                <w:b/>
              </w:rPr>
            </w:pPr>
            <w:r w:rsidRPr="000D0954">
              <w:rPr>
                <w:b/>
              </w:rPr>
              <w:t>3</w:t>
            </w:r>
          </w:p>
        </w:tc>
        <w:tc>
          <w:tcPr>
            <w:tcW w:w="1417" w:type="dxa"/>
            <w:vAlign w:val="center"/>
          </w:tcPr>
          <w:p w:rsidR="000D0954" w:rsidRPr="000D0954" w:rsidRDefault="000D0954" w:rsidP="00D164EB">
            <w:pPr>
              <w:spacing w:before="60" w:after="60"/>
              <w:jc w:val="right"/>
              <w:rPr>
                <w:b/>
              </w:rPr>
            </w:pPr>
          </w:p>
        </w:tc>
        <w:tc>
          <w:tcPr>
            <w:tcW w:w="1527" w:type="dxa"/>
            <w:vAlign w:val="center"/>
          </w:tcPr>
          <w:p w:rsidR="000D0954" w:rsidRPr="000D0954" w:rsidRDefault="000D0954" w:rsidP="00D164EB">
            <w:pPr>
              <w:spacing w:before="60" w:after="60"/>
              <w:jc w:val="right"/>
              <w:rPr>
                <w:b/>
              </w:rPr>
            </w:pPr>
          </w:p>
        </w:tc>
      </w:tr>
      <w:tr w:rsidR="000D0954" w:rsidRPr="000D0954" w:rsidTr="00D164EB">
        <w:tc>
          <w:tcPr>
            <w:tcW w:w="9148" w:type="dxa"/>
            <w:gridSpan w:val="5"/>
            <w:shd w:val="clear" w:color="auto" w:fill="D6E3BC" w:themeFill="accent3" w:themeFillTint="66"/>
          </w:tcPr>
          <w:p w:rsidR="000D0954" w:rsidRPr="000D0954" w:rsidRDefault="000D0954" w:rsidP="00D164EB">
            <w:pPr>
              <w:suppressAutoHyphens w:val="0"/>
              <w:spacing w:before="60" w:after="60"/>
              <w:ind w:left="720"/>
              <w:rPr>
                <w:b/>
              </w:rPr>
            </w:pPr>
            <w:r w:rsidRPr="000D0954">
              <w:rPr>
                <w:b/>
              </w:rPr>
              <w:t>2. Ādažu novada domes ikmēneša laikraksta „Ādažu Vēstis” pielikums</w:t>
            </w:r>
          </w:p>
        </w:tc>
      </w:tr>
      <w:tr w:rsidR="000D0954" w:rsidRPr="000D0954" w:rsidTr="00D164EB">
        <w:trPr>
          <w:trHeight w:val="570"/>
        </w:trPr>
        <w:tc>
          <w:tcPr>
            <w:tcW w:w="3227" w:type="dxa"/>
          </w:tcPr>
          <w:p w:rsidR="000D0954" w:rsidRPr="000D0954" w:rsidRDefault="000D0954" w:rsidP="00D164EB">
            <w:pPr>
              <w:suppressAutoHyphens w:val="0"/>
              <w:spacing w:before="60" w:after="60"/>
            </w:pPr>
            <w:r w:rsidRPr="000D0954">
              <w:t xml:space="preserve">Izdevums ar 20 lpp. </w:t>
            </w:r>
          </w:p>
        </w:tc>
        <w:tc>
          <w:tcPr>
            <w:tcW w:w="1559" w:type="dxa"/>
            <w:vAlign w:val="center"/>
          </w:tcPr>
          <w:p w:rsidR="000D0954" w:rsidRPr="000D0954" w:rsidRDefault="000D0954" w:rsidP="00D164EB">
            <w:pPr>
              <w:spacing w:before="60" w:after="60"/>
              <w:jc w:val="center"/>
            </w:pPr>
            <w:r w:rsidRPr="000D0954">
              <w:t>100 gb.</w:t>
            </w:r>
          </w:p>
        </w:tc>
        <w:tc>
          <w:tcPr>
            <w:tcW w:w="1418" w:type="dxa"/>
            <w:vAlign w:val="center"/>
          </w:tcPr>
          <w:p w:rsidR="000D0954" w:rsidRPr="000D0954" w:rsidRDefault="000D0954" w:rsidP="00D164EB">
            <w:pPr>
              <w:spacing w:before="60" w:after="60"/>
              <w:jc w:val="center"/>
              <w:rPr>
                <w:b/>
              </w:rPr>
            </w:pPr>
            <w:r w:rsidRPr="000D0954">
              <w:rPr>
                <w:b/>
              </w:rPr>
              <w:t>5</w:t>
            </w:r>
          </w:p>
        </w:tc>
        <w:tc>
          <w:tcPr>
            <w:tcW w:w="1417" w:type="dxa"/>
            <w:vAlign w:val="center"/>
          </w:tcPr>
          <w:p w:rsidR="000D0954" w:rsidRPr="000D0954" w:rsidRDefault="000D0954" w:rsidP="00D164EB">
            <w:pPr>
              <w:spacing w:before="60" w:after="60"/>
              <w:jc w:val="right"/>
              <w:rPr>
                <w:b/>
              </w:rPr>
            </w:pPr>
          </w:p>
        </w:tc>
        <w:tc>
          <w:tcPr>
            <w:tcW w:w="1527" w:type="dxa"/>
            <w:vAlign w:val="center"/>
          </w:tcPr>
          <w:p w:rsidR="000D0954" w:rsidRPr="000D0954" w:rsidRDefault="000D0954" w:rsidP="00D164EB">
            <w:pPr>
              <w:spacing w:before="60" w:after="60"/>
              <w:jc w:val="right"/>
              <w:rPr>
                <w:b/>
              </w:rPr>
            </w:pPr>
          </w:p>
        </w:tc>
      </w:tr>
      <w:tr w:rsidR="000D0954" w:rsidRPr="000D0954" w:rsidTr="00D164EB">
        <w:trPr>
          <w:trHeight w:val="705"/>
        </w:trPr>
        <w:tc>
          <w:tcPr>
            <w:tcW w:w="3227" w:type="dxa"/>
          </w:tcPr>
          <w:p w:rsidR="000D0954" w:rsidRPr="000D0954" w:rsidRDefault="000D0954" w:rsidP="00D164EB">
            <w:pPr>
              <w:suppressAutoHyphens w:val="0"/>
              <w:spacing w:before="60" w:after="60"/>
            </w:pPr>
            <w:r w:rsidRPr="000D0954">
              <w:t xml:space="preserve">Izdevums ar 28 lpp. </w:t>
            </w:r>
          </w:p>
        </w:tc>
        <w:tc>
          <w:tcPr>
            <w:tcW w:w="1559" w:type="dxa"/>
            <w:vAlign w:val="center"/>
          </w:tcPr>
          <w:p w:rsidR="000D0954" w:rsidRPr="000D0954" w:rsidRDefault="000D0954" w:rsidP="00D164EB">
            <w:pPr>
              <w:spacing w:before="60" w:after="60"/>
              <w:jc w:val="center"/>
            </w:pPr>
            <w:r w:rsidRPr="000D0954">
              <w:t>100 gb.</w:t>
            </w:r>
          </w:p>
        </w:tc>
        <w:tc>
          <w:tcPr>
            <w:tcW w:w="1418" w:type="dxa"/>
            <w:vAlign w:val="center"/>
          </w:tcPr>
          <w:p w:rsidR="000D0954" w:rsidRPr="000D0954" w:rsidRDefault="000D0954" w:rsidP="00D164EB">
            <w:pPr>
              <w:spacing w:before="60" w:after="60"/>
              <w:jc w:val="center"/>
              <w:rPr>
                <w:b/>
              </w:rPr>
            </w:pPr>
            <w:r w:rsidRPr="000D0954">
              <w:rPr>
                <w:b/>
              </w:rPr>
              <w:t>4</w:t>
            </w:r>
          </w:p>
        </w:tc>
        <w:tc>
          <w:tcPr>
            <w:tcW w:w="1417" w:type="dxa"/>
            <w:vAlign w:val="center"/>
          </w:tcPr>
          <w:p w:rsidR="000D0954" w:rsidRPr="000D0954" w:rsidRDefault="000D0954" w:rsidP="00D164EB">
            <w:pPr>
              <w:spacing w:before="60" w:after="60"/>
              <w:jc w:val="right"/>
              <w:rPr>
                <w:b/>
              </w:rPr>
            </w:pPr>
          </w:p>
        </w:tc>
        <w:tc>
          <w:tcPr>
            <w:tcW w:w="1527" w:type="dxa"/>
            <w:vAlign w:val="center"/>
          </w:tcPr>
          <w:p w:rsidR="000D0954" w:rsidRPr="000D0954" w:rsidRDefault="000D0954" w:rsidP="00D164EB">
            <w:pPr>
              <w:spacing w:before="60" w:after="60"/>
              <w:jc w:val="right"/>
              <w:rPr>
                <w:b/>
              </w:rPr>
            </w:pPr>
          </w:p>
        </w:tc>
      </w:tr>
      <w:tr w:rsidR="000D0954" w:rsidRPr="000D0954" w:rsidTr="00D164EB">
        <w:trPr>
          <w:trHeight w:val="705"/>
        </w:trPr>
        <w:tc>
          <w:tcPr>
            <w:tcW w:w="3227" w:type="dxa"/>
          </w:tcPr>
          <w:p w:rsidR="000D0954" w:rsidRPr="000D0954" w:rsidRDefault="000D0954" w:rsidP="00D164EB">
            <w:pPr>
              <w:suppressAutoHyphens w:val="0"/>
              <w:spacing w:before="60" w:after="60"/>
            </w:pPr>
            <w:r w:rsidRPr="000D0954">
              <w:t xml:space="preserve">Izdevums ar 32 lpp. </w:t>
            </w:r>
          </w:p>
        </w:tc>
        <w:tc>
          <w:tcPr>
            <w:tcW w:w="1559" w:type="dxa"/>
            <w:vAlign w:val="center"/>
          </w:tcPr>
          <w:p w:rsidR="000D0954" w:rsidRPr="000D0954" w:rsidRDefault="000D0954" w:rsidP="00D164EB">
            <w:pPr>
              <w:spacing w:before="60" w:after="60"/>
              <w:jc w:val="center"/>
            </w:pPr>
            <w:r w:rsidRPr="000D0954">
              <w:t>100 gb.</w:t>
            </w:r>
          </w:p>
        </w:tc>
        <w:tc>
          <w:tcPr>
            <w:tcW w:w="1418" w:type="dxa"/>
            <w:vAlign w:val="center"/>
          </w:tcPr>
          <w:p w:rsidR="000D0954" w:rsidRPr="000D0954" w:rsidRDefault="000D0954" w:rsidP="00D164EB">
            <w:pPr>
              <w:spacing w:before="60" w:after="60"/>
              <w:jc w:val="center"/>
              <w:rPr>
                <w:b/>
              </w:rPr>
            </w:pPr>
            <w:r w:rsidRPr="000D0954">
              <w:rPr>
                <w:b/>
              </w:rPr>
              <w:t>2</w:t>
            </w:r>
          </w:p>
        </w:tc>
        <w:tc>
          <w:tcPr>
            <w:tcW w:w="1417" w:type="dxa"/>
            <w:vAlign w:val="center"/>
          </w:tcPr>
          <w:p w:rsidR="000D0954" w:rsidRPr="000D0954" w:rsidRDefault="000D0954" w:rsidP="00D164EB">
            <w:pPr>
              <w:spacing w:before="60" w:after="60"/>
              <w:jc w:val="right"/>
              <w:rPr>
                <w:b/>
              </w:rPr>
            </w:pPr>
          </w:p>
        </w:tc>
        <w:tc>
          <w:tcPr>
            <w:tcW w:w="1527" w:type="dxa"/>
            <w:vAlign w:val="center"/>
          </w:tcPr>
          <w:p w:rsidR="000D0954" w:rsidRPr="000D0954" w:rsidRDefault="000D0954" w:rsidP="00D164EB">
            <w:pPr>
              <w:spacing w:before="60" w:after="60"/>
              <w:jc w:val="right"/>
              <w:rPr>
                <w:b/>
              </w:rPr>
            </w:pPr>
          </w:p>
        </w:tc>
      </w:tr>
      <w:tr w:rsidR="000D0954" w:rsidRPr="000D0954" w:rsidTr="00D164EB">
        <w:tc>
          <w:tcPr>
            <w:tcW w:w="9148" w:type="dxa"/>
            <w:gridSpan w:val="5"/>
            <w:shd w:val="clear" w:color="auto" w:fill="D6E3BC" w:themeFill="accent3" w:themeFillTint="66"/>
          </w:tcPr>
          <w:p w:rsidR="000D0954" w:rsidRPr="000D0954" w:rsidRDefault="000D0954" w:rsidP="000D0954">
            <w:pPr>
              <w:pStyle w:val="ListParagraph"/>
              <w:numPr>
                <w:ilvl w:val="0"/>
                <w:numId w:val="31"/>
              </w:numPr>
              <w:suppressAutoHyphens w:val="0"/>
              <w:spacing w:before="60" w:after="60"/>
              <w:rPr>
                <w:rFonts w:ascii="Times New Roman" w:hAnsi="Times New Roman" w:cs="Times New Roman"/>
                <w:b/>
              </w:rPr>
            </w:pPr>
            <w:r w:rsidRPr="000D0954">
              <w:rPr>
                <w:rFonts w:ascii="Times New Roman" w:hAnsi="Times New Roman" w:cs="Times New Roman"/>
                <w:b/>
              </w:rPr>
              <w:t>KOPĀ:</w:t>
            </w:r>
          </w:p>
        </w:tc>
      </w:tr>
      <w:tr w:rsidR="000D0954" w:rsidRPr="000D0954" w:rsidTr="00D164EB">
        <w:trPr>
          <w:trHeight w:val="570"/>
        </w:trPr>
        <w:tc>
          <w:tcPr>
            <w:tcW w:w="6204" w:type="dxa"/>
            <w:gridSpan w:val="3"/>
          </w:tcPr>
          <w:p w:rsidR="000D0954" w:rsidRPr="000D0954" w:rsidRDefault="000D0954" w:rsidP="00D164EB">
            <w:pPr>
              <w:spacing w:before="60" w:after="60"/>
              <w:jc w:val="right"/>
              <w:rPr>
                <w:b/>
              </w:rPr>
            </w:pPr>
            <w:r w:rsidRPr="000D0954">
              <w:rPr>
                <w:b/>
              </w:rPr>
              <w:t>KOPĀ bez PVN:</w:t>
            </w:r>
          </w:p>
          <w:p w:rsidR="000D0954" w:rsidRPr="000D0954" w:rsidRDefault="000D0954" w:rsidP="00D164EB">
            <w:pPr>
              <w:spacing w:before="60" w:after="60"/>
              <w:jc w:val="right"/>
              <w:rPr>
                <w:b/>
              </w:rPr>
            </w:pPr>
            <w:r w:rsidRPr="000D0954">
              <w:rPr>
                <w:b/>
              </w:rPr>
              <w:t>PVN:</w:t>
            </w:r>
          </w:p>
          <w:p w:rsidR="000D0954" w:rsidRPr="000D0954" w:rsidRDefault="000D0954" w:rsidP="00D164EB">
            <w:pPr>
              <w:spacing w:before="60" w:after="60"/>
              <w:jc w:val="right"/>
              <w:rPr>
                <w:b/>
              </w:rPr>
            </w:pPr>
            <w:r w:rsidRPr="000D0954">
              <w:rPr>
                <w:b/>
              </w:rPr>
              <w:t>KOPĀ ar PVN:</w:t>
            </w:r>
          </w:p>
        </w:tc>
        <w:tc>
          <w:tcPr>
            <w:tcW w:w="1417" w:type="dxa"/>
            <w:shd w:val="clear" w:color="auto" w:fill="76923C" w:themeFill="accent3" w:themeFillShade="BF"/>
            <w:vAlign w:val="center"/>
          </w:tcPr>
          <w:p w:rsidR="000D0954" w:rsidRPr="000D0954" w:rsidRDefault="000D0954" w:rsidP="00D164EB">
            <w:pPr>
              <w:spacing w:before="60" w:after="60"/>
              <w:jc w:val="right"/>
              <w:rPr>
                <w:b/>
              </w:rPr>
            </w:pPr>
          </w:p>
        </w:tc>
        <w:tc>
          <w:tcPr>
            <w:tcW w:w="1527" w:type="dxa"/>
            <w:shd w:val="clear" w:color="auto" w:fill="76923C" w:themeFill="accent3" w:themeFillShade="BF"/>
            <w:vAlign w:val="center"/>
          </w:tcPr>
          <w:p w:rsidR="000D0954" w:rsidRPr="000D0954" w:rsidRDefault="000D0954" w:rsidP="00D164EB">
            <w:pPr>
              <w:spacing w:before="60" w:after="60"/>
              <w:jc w:val="right"/>
              <w:rPr>
                <w:b/>
              </w:rPr>
            </w:pPr>
          </w:p>
        </w:tc>
      </w:tr>
    </w:tbl>
    <w:p w:rsidR="000D0954" w:rsidRPr="000D0954" w:rsidRDefault="000D0954" w:rsidP="000D0954">
      <w:pPr>
        <w:rPr>
          <w:b/>
          <w:bCs/>
        </w:rPr>
      </w:pPr>
    </w:p>
    <w:p w:rsidR="000D0954" w:rsidRPr="000D0954" w:rsidRDefault="000D0954" w:rsidP="000D0954">
      <w:pPr>
        <w:rPr>
          <w:b/>
          <w:bCs/>
        </w:rPr>
      </w:pPr>
      <w:r w:rsidRPr="000D0954">
        <w:rPr>
          <w:b/>
          <w:bCs/>
        </w:rPr>
        <w:t>Ar šo apliecinām, ka visa piedāvājumā iesniegtā informācija ir patiesa.</w:t>
      </w:r>
    </w:p>
    <w:p w:rsidR="000D0954" w:rsidRPr="000D0954" w:rsidRDefault="000D0954" w:rsidP="000D0954">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D0954" w:rsidRPr="000D0954" w:rsidTr="00D164EB">
        <w:trPr>
          <w:trHeight w:val="390"/>
        </w:trPr>
        <w:tc>
          <w:tcPr>
            <w:tcW w:w="3671" w:type="dxa"/>
            <w:shd w:val="clear" w:color="auto" w:fill="D6E3BC" w:themeFill="accent3" w:themeFillTint="66"/>
            <w:vAlign w:val="center"/>
          </w:tcPr>
          <w:p w:rsidR="000D0954" w:rsidRPr="000D0954" w:rsidRDefault="000D0954" w:rsidP="00D164EB">
            <w:pPr>
              <w:jc w:val="center"/>
              <w:rPr>
                <w:b/>
              </w:rPr>
            </w:pPr>
            <w:r w:rsidRPr="000D0954">
              <w:rPr>
                <w:b/>
              </w:rPr>
              <w:t>Pretendenta nosaukums:</w:t>
            </w:r>
          </w:p>
        </w:tc>
        <w:tc>
          <w:tcPr>
            <w:tcW w:w="4024" w:type="dxa"/>
            <w:vAlign w:val="center"/>
          </w:tcPr>
          <w:p w:rsidR="000D0954" w:rsidRPr="000D0954" w:rsidRDefault="000D0954" w:rsidP="00D164EB">
            <w:pPr>
              <w:jc w:val="center"/>
              <w:rPr>
                <w:b/>
              </w:rPr>
            </w:pPr>
          </w:p>
        </w:tc>
      </w:tr>
      <w:tr w:rsidR="000D0954" w:rsidRPr="000D0954" w:rsidTr="00D164EB">
        <w:trPr>
          <w:trHeight w:val="390"/>
        </w:trPr>
        <w:tc>
          <w:tcPr>
            <w:tcW w:w="3671" w:type="dxa"/>
            <w:shd w:val="clear" w:color="auto" w:fill="D6E3BC" w:themeFill="accent3" w:themeFillTint="66"/>
            <w:vAlign w:val="center"/>
          </w:tcPr>
          <w:p w:rsidR="000D0954" w:rsidRPr="000D0954" w:rsidRDefault="000D0954" w:rsidP="00D164EB">
            <w:pPr>
              <w:jc w:val="center"/>
              <w:rPr>
                <w:b/>
              </w:rPr>
            </w:pPr>
            <w:r w:rsidRPr="000D0954">
              <w:rPr>
                <w:b/>
              </w:rPr>
              <w:t>Pilnvarotās personas vārds, uzvārds</w:t>
            </w:r>
          </w:p>
        </w:tc>
        <w:tc>
          <w:tcPr>
            <w:tcW w:w="4024" w:type="dxa"/>
            <w:vAlign w:val="center"/>
          </w:tcPr>
          <w:p w:rsidR="000D0954" w:rsidRPr="000D0954" w:rsidRDefault="000D0954" w:rsidP="00D164EB">
            <w:pPr>
              <w:jc w:val="center"/>
              <w:rPr>
                <w:b/>
              </w:rPr>
            </w:pPr>
          </w:p>
        </w:tc>
      </w:tr>
      <w:tr w:rsidR="000D0954" w:rsidRPr="000D0954" w:rsidTr="00D164EB">
        <w:trPr>
          <w:trHeight w:val="390"/>
        </w:trPr>
        <w:tc>
          <w:tcPr>
            <w:tcW w:w="3671" w:type="dxa"/>
            <w:shd w:val="clear" w:color="auto" w:fill="D6E3BC" w:themeFill="accent3" w:themeFillTint="66"/>
            <w:vAlign w:val="center"/>
          </w:tcPr>
          <w:p w:rsidR="000D0954" w:rsidRPr="000D0954" w:rsidRDefault="000D0954" w:rsidP="00D164EB">
            <w:pPr>
              <w:jc w:val="center"/>
              <w:rPr>
                <w:b/>
              </w:rPr>
            </w:pPr>
            <w:r w:rsidRPr="000D0954">
              <w:rPr>
                <w:b/>
              </w:rPr>
              <w:t>Pilnvarotās personas amats:</w:t>
            </w:r>
          </w:p>
        </w:tc>
        <w:tc>
          <w:tcPr>
            <w:tcW w:w="4024" w:type="dxa"/>
            <w:vAlign w:val="center"/>
          </w:tcPr>
          <w:p w:rsidR="000D0954" w:rsidRPr="000D0954" w:rsidRDefault="000D0954" w:rsidP="00D164EB">
            <w:pPr>
              <w:jc w:val="center"/>
              <w:rPr>
                <w:b/>
              </w:rPr>
            </w:pPr>
          </w:p>
        </w:tc>
      </w:tr>
      <w:tr w:rsidR="000D0954" w:rsidRPr="000D0954" w:rsidTr="00D164EB">
        <w:trPr>
          <w:trHeight w:val="567"/>
        </w:trPr>
        <w:tc>
          <w:tcPr>
            <w:tcW w:w="3671" w:type="dxa"/>
            <w:shd w:val="clear" w:color="auto" w:fill="D6E3BC" w:themeFill="accent3" w:themeFillTint="66"/>
            <w:vAlign w:val="center"/>
          </w:tcPr>
          <w:p w:rsidR="000D0954" w:rsidRPr="000D0954" w:rsidRDefault="000D0954" w:rsidP="00D164EB">
            <w:pPr>
              <w:jc w:val="center"/>
              <w:rPr>
                <w:b/>
              </w:rPr>
            </w:pPr>
            <w:r w:rsidRPr="000D0954">
              <w:rPr>
                <w:b/>
              </w:rPr>
              <w:t>Pilnvarotās personas paraksts:</w:t>
            </w:r>
          </w:p>
        </w:tc>
        <w:tc>
          <w:tcPr>
            <w:tcW w:w="4024" w:type="dxa"/>
            <w:vAlign w:val="center"/>
          </w:tcPr>
          <w:p w:rsidR="000D0954" w:rsidRPr="000D0954" w:rsidRDefault="000D0954" w:rsidP="00D164EB">
            <w:pPr>
              <w:jc w:val="center"/>
              <w:rPr>
                <w:b/>
              </w:rPr>
            </w:pPr>
          </w:p>
        </w:tc>
      </w:tr>
    </w:tbl>
    <w:p w:rsidR="000D0954" w:rsidRPr="000D0954" w:rsidRDefault="000D0954" w:rsidP="000D0954">
      <w:pPr>
        <w:pStyle w:val="Header"/>
        <w:ind w:firstLine="720"/>
        <w:rPr>
          <w:lang w:val="lv-LV"/>
        </w:rPr>
      </w:pPr>
    </w:p>
    <w:p w:rsidR="000D0954" w:rsidRPr="000D0954" w:rsidRDefault="000D0954" w:rsidP="000D0954">
      <w:pPr>
        <w:pStyle w:val="Header"/>
        <w:ind w:firstLine="720"/>
        <w:rPr>
          <w:b/>
          <w:sz w:val="28"/>
          <w:lang w:val="lv-LV"/>
        </w:rPr>
      </w:pPr>
      <w:r w:rsidRPr="000D0954">
        <w:rPr>
          <w:lang w:val="lv-LV"/>
        </w:rPr>
        <w:t>Z.v.</w:t>
      </w:r>
    </w:p>
    <w:p w:rsidR="000D0954" w:rsidRPr="000D0954" w:rsidRDefault="000D0954" w:rsidP="000D0954">
      <w:pPr>
        <w:pStyle w:val="Apakpunkts"/>
        <w:numPr>
          <w:ilvl w:val="0"/>
          <w:numId w:val="0"/>
        </w:numPr>
        <w:ind w:left="851"/>
        <w:rPr>
          <w:rFonts w:ascii="Times New Roman" w:hAnsi="Times New Roman"/>
        </w:rPr>
      </w:pPr>
    </w:p>
    <w:p w:rsidR="00D75D95" w:rsidRPr="0098493F" w:rsidRDefault="00D75D95" w:rsidP="000D0954">
      <w:pPr>
        <w:suppressAutoHyphens w:val="0"/>
        <w:spacing w:after="200" w:line="276" w:lineRule="auto"/>
        <w:jc w:val="right"/>
        <w:rPr>
          <w:rFonts w:eastAsia="Times New Roman"/>
          <w:b/>
          <w:sz w:val="20"/>
          <w:lang w:eastAsia="lv-LV"/>
        </w:rPr>
      </w:pPr>
    </w:p>
    <w:sectPr w:rsidR="00D75D95" w:rsidRPr="0098493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FB" w:rsidRDefault="005C56FB" w:rsidP="00016DFA">
      <w:r>
        <w:separator/>
      </w:r>
    </w:p>
  </w:endnote>
  <w:endnote w:type="continuationSeparator" w:id="0">
    <w:p w:rsidR="005C56FB" w:rsidRDefault="005C56FB"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pPr>
      <w:pStyle w:val="Footer"/>
      <w:jc w:val="right"/>
      <w:rPr>
        <w:lang w:val="lv-LV"/>
      </w:rPr>
    </w:pPr>
    <w:r>
      <w:rPr>
        <w:lang w:val="lv-LV"/>
      </w:rPr>
      <w:fldChar w:fldCharType="begin"/>
    </w:r>
    <w:r>
      <w:rPr>
        <w:lang w:val="lv-LV"/>
      </w:rPr>
      <w:instrText xml:space="preserve"> PAGE </w:instrText>
    </w:r>
    <w:r>
      <w:rPr>
        <w:lang w:val="lv-LV"/>
      </w:rPr>
      <w:fldChar w:fldCharType="separate"/>
    </w:r>
    <w:r w:rsidR="005C56FB">
      <w:rPr>
        <w:noProof/>
        <w:lang w:val="lv-LV"/>
      </w:rPr>
      <w:t>1</w:t>
    </w:r>
    <w:r>
      <w:rPr>
        <w:lang w:val="lv-LV"/>
      </w:rPr>
      <w:fldChar w:fldCharType="end"/>
    </w:r>
  </w:p>
  <w:p w:rsidR="004A4D1A" w:rsidRDefault="004A4D1A">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FB" w:rsidRDefault="005C56FB" w:rsidP="00016DFA">
      <w:r>
        <w:separator/>
      </w:r>
    </w:p>
  </w:footnote>
  <w:footnote w:type="continuationSeparator" w:id="0">
    <w:p w:rsidR="005C56FB" w:rsidRDefault="005C56FB" w:rsidP="00016DFA">
      <w:r>
        <w:continuationSeparator/>
      </w:r>
    </w:p>
  </w:footnote>
  <w:footnote w:id="1">
    <w:p w:rsidR="004A4D1A" w:rsidRPr="000C3990" w:rsidRDefault="004A4D1A"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7"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8"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3587450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DC03C22"/>
    <w:multiLevelType w:val="hybridMultilevel"/>
    <w:tmpl w:val="6C00AFB2"/>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2"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4"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7"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18"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2045E38"/>
    <w:multiLevelType w:val="hybridMultilevel"/>
    <w:tmpl w:val="BB8C7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9206A0"/>
    <w:multiLevelType w:val="hybridMultilevel"/>
    <w:tmpl w:val="8A52F47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0"/>
  </w:num>
  <w:num w:numId="18">
    <w:abstractNumId w:val="19"/>
  </w:num>
  <w:num w:numId="19">
    <w:abstractNumId w:val="15"/>
  </w:num>
  <w:num w:numId="20">
    <w:abstractNumId w:val="12"/>
  </w:num>
  <w:num w:numId="21">
    <w:abstractNumId w:val="4"/>
  </w:num>
  <w:num w:numId="22">
    <w:abstractNumId w:val="16"/>
  </w:num>
  <w:num w:numId="23">
    <w:abstractNumId w:val="17"/>
  </w:num>
  <w:num w:numId="24">
    <w:abstractNumId w:val="5"/>
  </w:num>
  <w:num w:numId="25">
    <w:abstractNumId w:val="7"/>
  </w:num>
  <w:num w:numId="26">
    <w:abstractNumId w:val="10"/>
  </w:num>
  <w:num w:numId="27">
    <w:abstractNumId w:val="14"/>
  </w:num>
  <w:num w:numId="28">
    <w:abstractNumId w:val="21"/>
  </w:num>
  <w:num w:numId="29">
    <w:abstractNumId w:val="22"/>
  </w:num>
  <w:num w:numId="30">
    <w:abstractNumId w:val="1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2A8E"/>
    <w:rsid w:val="00016DFA"/>
    <w:rsid w:val="000179B2"/>
    <w:rsid w:val="00095650"/>
    <w:rsid w:val="000B3EFC"/>
    <w:rsid w:val="000C6A3D"/>
    <w:rsid w:val="000D0954"/>
    <w:rsid w:val="000D4158"/>
    <w:rsid w:val="000F646A"/>
    <w:rsid w:val="001204E3"/>
    <w:rsid w:val="001432E7"/>
    <w:rsid w:val="001618E6"/>
    <w:rsid w:val="0016291D"/>
    <w:rsid w:val="001645A8"/>
    <w:rsid w:val="00174A7B"/>
    <w:rsid w:val="00181E93"/>
    <w:rsid w:val="00192340"/>
    <w:rsid w:val="001B772F"/>
    <w:rsid w:val="001E0EC5"/>
    <w:rsid w:val="001F6C7B"/>
    <w:rsid w:val="002342E7"/>
    <w:rsid w:val="00235D0E"/>
    <w:rsid w:val="00255C2A"/>
    <w:rsid w:val="0026453F"/>
    <w:rsid w:val="002925E9"/>
    <w:rsid w:val="002D2E7F"/>
    <w:rsid w:val="00300FB5"/>
    <w:rsid w:val="003153E1"/>
    <w:rsid w:val="003567F3"/>
    <w:rsid w:val="00360ACF"/>
    <w:rsid w:val="003614FF"/>
    <w:rsid w:val="00370B73"/>
    <w:rsid w:val="00387B39"/>
    <w:rsid w:val="003B6F98"/>
    <w:rsid w:val="003E1D2D"/>
    <w:rsid w:val="00425EA3"/>
    <w:rsid w:val="00471828"/>
    <w:rsid w:val="00476F90"/>
    <w:rsid w:val="00485B30"/>
    <w:rsid w:val="004A4D1A"/>
    <w:rsid w:val="004D31E8"/>
    <w:rsid w:val="004D7F01"/>
    <w:rsid w:val="004E5066"/>
    <w:rsid w:val="004E5194"/>
    <w:rsid w:val="005466B7"/>
    <w:rsid w:val="00551A36"/>
    <w:rsid w:val="005543A5"/>
    <w:rsid w:val="00560C23"/>
    <w:rsid w:val="00585574"/>
    <w:rsid w:val="005C56FB"/>
    <w:rsid w:val="005E0F19"/>
    <w:rsid w:val="005F089A"/>
    <w:rsid w:val="006037C1"/>
    <w:rsid w:val="00623A6E"/>
    <w:rsid w:val="00630256"/>
    <w:rsid w:val="00632F79"/>
    <w:rsid w:val="006370CF"/>
    <w:rsid w:val="00643F64"/>
    <w:rsid w:val="006544F9"/>
    <w:rsid w:val="006618A5"/>
    <w:rsid w:val="00676C1B"/>
    <w:rsid w:val="006872A1"/>
    <w:rsid w:val="00693A05"/>
    <w:rsid w:val="006B12B8"/>
    <w:rsid w:val="006B5CB9"/>
    <w:rsid w:val="006E5376"/>
    <w:rsid w:val="00713A94"/>
    <w:rsid w:val="007252EF"/>
    <w:rsid w:val="00741683"/>
    <w:rsid w:val="00745873"/>
    <w:rsid w:val="00750E17"/>
    <w:rsid w:val="007619B3"/>
    <w:rsid w:val="0078580E"/>
    <w:rsid w:val="007C056A"/>
    <w:rsid w:val="007C36F4"/>
    <w:rsid w:val="007E0C66"/>
    <w:rsid w:val="007E4852"/>
    <w:rsid w:val="007F5B94"/>
    <w:rsid w:val="008006BC"/>
    <w:rsid w:val="00846949"/>
    <w:rsid w:val="0085185D"/>
    <w:rsid w:val="00854161"/>
    <w:rsid w:val="00863F7D"/>
    <w:rsid w:val="008712E4"/>
    <w:rsid w:val="00896C86"/>
    <w:rsid w:val="008C37BC"/>
    <w:rsid w:val="008F0261"/>
    <w:rsid w:val="00910E5E"/>
    <w:rsid w:val="009147D0"/>
    <w:rsid w:val="009325C9"/>
    <w:rsid w:val="009327C4"/>
    <w:rsid w:val="009615E7"/>
    <w:rsid w:val="00962240"/>
    <w:rsid w:val="00981962"/>
    <w:rsid w:val="009827DA"/>
    <w:rsid w:val="009835D0"/>
    <w:rsid w:val="0098493F"/>
    <w:rsid w:val="00993CAB"/>
    <w:rsid w:val="00994FA9"/>
    <w:rsid w:val="009A56DC"/>
    <w:rsid w:val="009C073A"/>
    <w:rsid w:val="009C5922"/>
    <w:rsid w:val="009D27EF"/>
    <w:rsid w:val="009E3D9D"/>
    <w:rsid w:val="009E6A8A"/>
    <w:rsid w:val="009F5AAE"/>
    <w:rsid w:val="00A03147"/>
    <w:rsid w:val="00A13E39"/>
    <w:rsid w:val="00A30174"/>
    <w:rsid w:val="00A33107"/>
    <w:rsid w:val="00A36754"/>
    <w:rsid w:val="00A47061"/>
    <w:rsid w:val="00A66E83"/>
    <w:rsid w:val="00A87BE9"/>
    <w:rsid w:val="00A94508"/>
    <w:rsid w:val="00AA2540"/>
    <w:rsid w:val="00AD5543"/>
    <w:rsid w:val="00AE2161"/>
    <w:rsid w:val="00AE5055"/>
    <w:rsid w:val="00AF0E02"/>
    <w:rsid w:val="00B24414"/>
    <w:rsid w:val="00B32783"/>
    <w:rsid w:val="00B349F4"/>
    <w:rsid w:val="00B472D4"/>
    <w:rsid w:val="00B50613"/>
    <w:rsid w:val="00B610E7"/>
    <w:rsid w:val="00B83A59"/>
    <w:rsid w:val="00B9565E"/>
    <w:rsid w:val="00BA2ECA"/>
    <w:rsid w:val="00BB51B2"/>
    <w:rsid w:val="00BC3595"/>
    <w:rsid w:val="00BD70C0"/>
    <w:rsid w:val="00BD750F"/>
    <w:rsid w:val="00C06C3A"/>
    <w:rsid w:val="00C11681"/>
    <w:rsid w:val="00C251CD"/>
    <w:rsid w:val="00CB29AC"/>
    <w:rsid w:val="00CB2E61"/>
    <w:rsid w:val="00CE4FA0"/>
    <w:rsid w:val="00D12D3C"/>
    <w:rsid w:val="00D166A0"/>
    <w:rsid w:val="00D3539B"/>
    <w:rsid w:val="00D364DB"/>
    <w:rsid w:val="00D41C42"/>
    <w:rsid w:val="00D444D7"/>
    <w:rsid w:val="00D61F4D"/>
    <w:rsid w:val="00D7094B"/>
    <w:rsid w:val="00D75D95"/>
    <w:rsid w:val="00D77981"/>
    <w:rsid w:val="00D878FD"/>
    <w:rsid w:val="00D91B53"/>
    <w:rsid w:val="00D940E9"/>
    <w:rsid w:val="00DB2ECE"/>
    <w:rsid w:val="00DC0440"/>
    <w:rsid w:val="00DD4634"/>
    <w:rsid w:val="00DF3EF8"/>
    <w:rsid w:val="00E04F71"/>
    <w:rsid w:val="00E06EAF"/>
    <w:rsid w:val="00E2541F"/>
    <w:rsid w:val="00E348BF"/>
    <w:rsid w:val="00E35BB6"/>
    <w:rsid w:val="00E86948"/>
    <w:rsid w:val="00E96E53"/>
    <w:rsid w:val="00EA7742"/>
    <w:rsid w:val="00EB340A"/>
    <w:rsid w:val="00ED1897"/>
    <w:rsid w:val="00ED6E01"/>
    <w:rsid w:val="00F24DA9"/>
    <w:rsid w:val="00F25736"/>
    <w:rsid w:val="00F301BA"/>
    <w:rsid w:val="00F31EF0"/>
    <w:rsid w:val="00F53DFC"/>
    <w:rsid w:val="00F627E2"/>
    <w:rsid w:val="00F96D1D"/>
    <w:rsid w:val="00FA10AE"/>
    <w:rsid w:val="00FA4C08"/>
    <w:rsid w:val="00FB76B5"/>
    <w:rsid w:val="00FD58D5"/>
    <w:rsid w:val="00FD7E71"/>
    <w:rsid w:val="00FE371D"/>
    <w:rsid w:val="00FE43B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aliases w:val="Header Char Char"/>
    <w:basedOn w:val="Normal"/>
    <w:link w:val="HeaderChar"/>
    <w:uiPriority w:val="99"/>
    <w:unhideWhenUsed/>
    <w:rsid w:val="00016DFA"/>
    <w:pPr>
      <w:tabs>
        <w:tab w:val="center" w:pos="4153"/>
        <w:tab w:val="right" w:pos="8306"/>
      </w:tabs>
    </w:pPr>
    <w:rPr>
      <w:lang w:val="x-none"/>
    </w:rPr>
  </w:style>
  <w:style w:type="character" w:customStyle="1" w:styleId="HeaderChar">
    <w:name w:val="Header Char"/>
    <w:aliases w:val="Header Char Cha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99"/>
    <w:locked/>
    <w:rsid w:val="00016DFA"/>
    <w:rPr>
      <w:rFonts w:ascii="Calibri" w:eastAsia="Calibri" w:hAnsi="Calibri"/>
      <w:lang w:eastAsia="ar-SA"/>
    </w:rPr>
  </w:style>
  <w:style w:type="paragraph" w:styleId="ListParagraph">
    <w:name w:val="List Paragraph"/>
    <w:basedOn w:val="Normal"/>
    <w:link w:val="ListParagraphChar"/>
    <w:uiPriority w:val="99"/>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uiPriority w:val="99"/>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 w:type="paragraph" w:customStyle="1" w:styleId="Teksts2">
    <w:name w:val="Teksts2"/>
    <w:basedOn w:val="Normal"/>
    <w:rsid w:val="00EB340A"/>
    <w:pPr>
      <w:suppressAutoHyphens w:val="0"/>
    </w:pPr>
    <w:rPr>
      <w:rFonts w:eastAsia="Times New Roman"/>
      <w:szCs w:val="20"/>
      <w:lang w:eastAsia="en-US"/>
    </w:rPr>
  </w:style>
  <w:style w:type="paragraph" w:customStyle="1" w:styleId="a">
    <w:next w:val="NoSpacing"/>
    <w:uiPriority w:val="1"/>
    <w:qFormat/>
    <w:rsid w:val="00C06C3A"/>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C06C3A"/>
    <w:pPr>
      <w:suppressAutoHyphens/>
      <w:spacing w:after="0" w:line="240" w:lineRule="auto"/>
      <w:jc w:val="both"/>
    </w:pPr>
    <w:rPr>
      <w:rFonts w:ascii="Times New Roman" w:eastAsia="Calibri" w:hAnsi="Times New Roman" w:cs="Times New Roman"/>
      <w:sz w:val="24"/>
      <w:szCs w:val="24"/>
      <w:lang w:eastAsia="ar-SA"/>
    </w:rPr>
  </w:style>
  <w:style w:type="paragraph" w:styleId="NormalWeb">
    <w:name w:val="Normal (Web)"/>
    <w:basedOn w:val="Normal"/>
    <w:uiPriority w:val="99"/>
    <w:unhideWhenUsed/>
    <w:rsid w:val="00A13E39"/>
    <w:pPr>
      <w:suppressAutoHyphens w:val="0"/>
      <w:spacing w:before="100" w:beforeAutospacing="1" w:after="100" w:afterAutospacing="1"/>
      <w:jc w:val="left"/>
    </w:pPr>
    <w:rPr>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3C77-B447-480B-891B-0B1CAF10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15</Pages>
  <Words>11232</Words>
  <Characters>6403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24</cp:revision>
  <dcterms:created xsi:type="dcterms:W3CDTF">2018-04-09T12:40:00Z</dcterms:created>
  <dcterms:modified xsi:type="dcterms:W3CDTF">2018-07-16T14:42:00Z</dcterms:modified>
</cp:coreProperties>
</file>