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Pr="00A87DEE" w:rsidRDefault="00272811" w:rsidP="006208C5">
      <w:pPr>
        <w:jc w:val="center"/>
        <w:rPr>
          <w:b/>
        </w:rPr>
      </w:pPr>
      <w:r w:rsidRPr="007E489A">
        <w:rPr>
          <w:b/>
        </w:rPr>
        <w:t>„</w:t>
      </w:r>
      <w:r w:rsidR="00396FC2">
        <w:rPr>
          <w:b/>
          <w:lang w:eastAsia="lv-LV"/>
        </w:rPr>
        <w:t>Ādažu novada domes laikraksta “Ādažu vēstis” drukāšana</w:t>
      </w:r>
      <w:r w:rsidRPr="00A87DEE">
        <w:rPr>
          <w:b/>
        </w:rPr>
        <w:t>”</w:t>
      </w:r>
    </w:p>
    <w:p w:rsidR="00272811" w:rsidRDefault="00DB7467" w:rsidP="00272811">
      <w:pPr>
        <w:jc w:val="center"/>
        <w:rPr>
          <w:b/>
          <w:sz w:val="28"/>
          <w:szCs w:val="28"/>
        </w:rPr>
      </w:pPr>
      <w:r>
        <w:rPr>
          <w:b/>
          <w:sz w:val="28"/>
          <w:szCs w:val="28"/>
        </w:rPr>
        <w:t xml:space="preserve">(ID.Nr. ĀND </w:t>
      </w:r>
      <w:r w:rsidR="00396FC2">
        <w:rPr>
          <w:b/>
          <w:sz w:val="28"/>
          <w:szCs w:val="28"/>
        </w:rPr>
        <w:t>2018/93</w:t>
      </w:r>
      <w:r w:rsidR="00805548">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Virsraksts1"/>
        <w:rPr>
          <w:b/>
        </w:rPr>
      </w:pPr>
      <w:r>
        <w:rPr>
          <w:b/>
          <w:bCs/>
          <w:sz w:val="24"/>
        </w:rPr>
        <w:t>PROTOKOLS</w:t>
      </w:r>
      <w:r w:rsidR="00DB7467">
        <w:rPr>
          <w:b/>
        </w:rPr>
        <w:t xml:space="preserve"> Nr.05-30-</w:t>
      </w:r>
      <w:r w:rsidR="00396FC2">
        <w:rPr>
          <w:b/>
        </w:rPr>
        <w:t>2018/93</w:t>
      </w:r>
      <w:r w:rsidR="006B2C5B">
        <w:rPr>
          <w:b/>
        </w:rPr>
        <w:t>-</w:t>
      </w:r>
      <w:r w:rsidR="00453506">
        <w:rPr>
          <w:b/>
        </w:rPr>
        <w:t>2</w:t>
      </w:r>
    </w:p>
    <w:p w:rsidR="001E582C" w:rsidRPr="001E582C" w:rsidRDefault="001E582C" w:rsidP="001E582C"/>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3D1793" w:rsidP="00DB7467">
            <w:pPr>
              <w:jc w:val="right"/>
            </w:pPr>
            <w:r>
              <w:rPr>
                <w:b/>
              </w:rPr>
              <w:t>201</w:t>
            </w:r>
            <w:r w:rsidR="000B0A3D">
              <w:rPr>
                <w:b/>
              </w:rPr>
              <w:t>8</w:t>
            </w:r>
            <w:r w:rsidR="000B4CF5">
              <w:rPr>
                <w:b/>
              </w:rPr>
              <w:t>.</w:t>
            </w:r>
            <w:r w:rsidR="002716BB">
              <w:rPr>
                <w:b/>
              </w:rPr>
              <w:t xml:space="preserve">gada </w:t>
            </w:r>
            <w:r w:rsidR="00396FC2">
              <w:rPr>
                <w:b/>
              </w:rPr>
              <w:t>2</w:t>
            </w:r>
            <w:r w:rsidR="00094625">
              <w:rPr>
                <w:b/>
              </w:rPr>
              <w:t>6</w:t>
            </w:r>
            <w:r w:rsidR="00396FC2">
              <w:rPr>
                <w:b/>
              </w:rPr>
              <w:t>. jūlijā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Virsraksts2"/>
        <w:rPr>
          <w:sz w:val="24"/>
        </w:rPr>
      </w:pPr>
      <w:r>
        <w:rPr>
          <w:b/>
          <w:bCs/>
          <w:sz w:val="24"/>
        </w:rPr>
        <w:t>Sēde sākās:</w:t>
      </w:r>
      <w:r>
        <w:rPr>
          <w:sz w:val="24"/>
        </w:rPr>
        <w:t xml:space="preserve"> </w:t>
      </w:r>
    </w:p>
    <w:p w:rsidR="00272811" w:rsidRDefault="00120ACA" w:rsidP="00272811">
      <w:pPr>
        <w:pStyle w:val="Virsraksts2"/>
        <w:ind w:firstLine="720"/>
        <w:rPr>
          <w:sz w:val="24"/>
        </w:rPr>
      </w:pPr>
      <w:r>
        <w:rPr>
          <w:sz w:val="24"/>
        </w:rPr>
        <w:t>Ko</w:t>
      </w:r>
      <w:r w:rsidR="00805548">
        <w:rPr>
          <w:sz w:val="24"/>
        </w:rPr>
        <w:t xml:space="preserve">misijas priekšsēdētājs </w:t>
      </w:r>
      <w:r w:rsidR="00272811">
        <w:rPr>
          <w:sz w:val="24"/>
        </w:rPr>
        <w:t>atklāj sēdi</w:t>
      </w:r>
      <w:r w:rsidR="00F30832">
        <w:rPr>
          <w:sz w:val="24"/>
        </w:rPr>
        <w:t xml:space="preserve"> plkst. 10</w:t>
      </w:r>
      <w:r w:rsidR="000B0A3D">
        <w:rPr>
          <w:sz w:val="24"/>
        </w:rPr>
        <w:t>:</w:t>
      </w:r>
      <w:r w:rsidR="00272811">
        <w:rPr>
          <w:sz w:val="24"/>
        </w:rPr>
        <w:t>00.</w:t>
      </w:r>
    </w:p>
    <w:p w:rsidR="00272811" w:rsidRDefault="00272811" w:rsidP="00272811">
      <w:pPr>
        <w:jc w:val="both"/>
        <w:rPr>
          <w:b/>
          <w:bCs/>
        </w:rPr>
      </w:pPr>
    </w:p>
    <w:p w:rsidR="001E582C" w:rsidRDefault="001E582C" w:rsidP="00272811">
      <w:pPr>
        <w:jc w:val="both"/>
        <w:rPr>
          <w:b/>
          <w:bCs/>
        </w:rPr>
      </w:pPr>
    </w:p>
    <w:p w:rsidR="00272811" w:rsidRDefault="00272811" w:rsidP="00272811">
      <w:pPr>
        <w:jc w:val="both"/>
        <w:rPr>
          <w:b/>
          <w:bCs/>
        </w:rPr>
      </w:pPr>
      <w:r>
        <w:rPr>
          <w:b/>
          <w:bCs/>
        </w:rPr>
        <w:t>Sēdē piedalās:</w:t>
      </w:r>
    </w:p>
    <w:tbl>
      <w:tblPr>
        <w:tblW w:w="8285" w:type="dxa"/>
        <w:tblInd w:w="648" w:type="dxa"/>
        <w:tblLook w:val="01E0" w:firstRow="1" w:lastRow="1" w:firstColumn="1" w:lastColumn="1" w:noHBand="0" w:noVBand="0"/>
      </w:tblPr>
      <w:tblGrid>
        <w:gridCol w:w="3605"/>
        <w:gridCol w:w="4680"/>
      </w:tblGrid>
      <w:tr w:rsidR="00E656DF" w:rsidTr="00A87DEE">
        <w:tc>
          <w:tcPr>
            <w:tcW w:w="3605" w:type="dxa"/>
          </w:tcPr>
          <w:p w:rsidR="00E656DF" w:rsidRDefault="00E656DF" w:rsidP="00E656DF">
            <w:pPr>
              <w:ind w:left="72" w:right="-694"/>
              <w:jc w:val="both"/>
            </w:pPr>
            <w:r>
              <w:t>Komisijas priekšsēdētāj</w:t>
            </w:r>
            <w:r w:rsidR="001E582C">
              <w:t>s</w:t>
            </w:r>
            <w:r>
              <w:t xml:space="preserve">: </w:t>
            </w:r>
          </w:p>
          <w:p w:rsidR="00E656DF" w:rsidRDefault="00E656DF" w:rsidP="00E656DF">
            <w:pPr>
              <w:ind w:left="72" w:right="-694"/>
              <w:jc w:val="both"/>
            </w:pPr>
            <w:r>
              <w:t>Komisijas locekļi:</w:t>
            </w:r>
          </w:p>
          <w:p w:rsidR="00E656DF" w:rsidRDefault="00E656DF" w:rsidP="00E656DF">
            <w:pPr>
              <w:ind w:left="72" w:right="-694"/>
              <w:jc w:val="both"/>
            </w:pPr>
          </w:p>
          <w:p w:rsidR="00E656DF" w:rsidRDefault="00E656DF" w:rsidP="00E656DF">
            <w:pPr>
              <w:ind w:left="72" w:right="-694"/>
              <w:jc w:val="both"/>
            </w:pPr>
          </w:p>
          <w:p w:rsidR="00E656DF" w:rsidRDefault="00E656DF" w:rsidP="00E656DF">
            <w:pPr>
              <w:ind w:left="72" w:right="-694"/>
              <w:jc w:val="both"/>
            </w:pPr>
          </w:p>
          <w:p w:rsidR="00B2145C" w:rsidRDefault="00CF5343" w:rsidP="000041DC">
            <w:pPr>
              <w:ind w:left="72" w:right="-3225"/>
              <w:jc w:val="both"/>
            </w:pPr>
            <w:r>
              <w:t>Iepirkumu speciālists</w:t>
            </w:r>
            <w:r w:rsidR="00D54948">
              <w:t>:</w:t>
            </w:r>
            <w:r w:rsidR="000041DC">
              <w:t xml:space="preserve">   </w:t>
            </w:r>
          </w:p>
        </w:tc>
        <w:tc>
          <w:tcPr>
            <w:tcW w:w="4680" w:type="dxa"/>
            <w:hideMark/>
          </w:tcPr>
          <w:p w:rsidR="00986081" w:rsidRDefault="00986081" w:rsidP="00E656DF">
            <w:pPr>
              <w:jc w:val="both"/>
            </w:pPr>
            <w:r>
              <w:t>Valērijs Bulāns</w:t>
            </w:r>
          </w:p>
          <w:p w:rsidR="00480548" w:rsidRDefault="00480548" w:rsidP="00E656DF">
            <w:pPr>
              <w:jc w:val="both"/>
            </w:pPr>
            <w:r>
              <w:t>Everita Kāpa</w:t>
            </w:r>
          </w:p>
          <w:p w:rsidR="00B2145C" w:rsidRDefault="00B2145C" w:rsidP="00E656DF">
            <w:pPr>
              <w:jc w:val="both"/>
            </w:pPr>
            <w:proofErr w:type="spellStart"/>
            <w:r>
              <w:t>Halfors</w:t>
            </w:r>
            <w:proofErr w:type="spellEnd"/>
            <w:r>
              <w:t xml:space="preserve"> Krasts</w:t>
            </w:r>
          </w:p>
          <w:p w:rsidR="00E656DF" w:rsidRDefault="00A87DEE" w:rsidP="00E656DF">
            <w:pPr>
              <w:jc w:val="both"/>
            </w:pPr>
            <w:r>
              <w:t>Uģis Dambis</w:t>
            </w:r>
          </w:p>
          <w:p w:rsidR="000041DC" w:rsidRDefault="000041DC" w:rsidP="00E656DF">
            <w:pPr>
              <w:jc w:val="both"/>
            </w:pPr>
            <w:r>
              <w:t>Zane Liepiņa</w:t>
            </w:r>
          </w:p>
          <w:p w:rsidR="00D54948" w:rsidRDefault="00D54948" w:rsidP="00E656DF">
            <w:pPr>
              <w:jc w:val="both"/>
            </w:pPr>
            <w:r>
              <w:t xml:space="preserve">Alīna Liepiņa - </w:t>
            </w:r>
            <w:proofErr w:type="spellStart"/>
            <w:r>
              <w:t>Jākobsone</w:t>
            </w:r>
            <w:proofErr w:type="spellEnd"/>
          </w:p>
          <w:p w:rsidR="000041DC" w:rsidRDefault="000041DC" w:rsidP="00E656DF">
            <w:pPr>
              <w:jc w:val="both"/>
            </w:pPr>
          </w:p>
        </w:tc>
      </w:tr>
    </w:tbl>
    <w:p w:rsidR="00CF5343" w:rsidRDefault="00CF5343" w:rsidP="00272811">
      <w:pPr>
        <w:rPr>
          <w:b/>
        </w:rPr>
      </w:pPr>
    </w:p>
    <w:p w:rsidR="00272811" w:rsidRDefault="00272811" w:rsidP="00272811">
      <w:pPr>
        <w:rPr>
          <w:b/>
        </w:rPr>
      </w:pPr>
      <w:r>
        <w:rPr>
          <w:b/>
        </w:rPr>
        <w:t xml:space="preserve">Komisijas izveides pamats: </w:t>
      </w:r>
    </w:p>
    <w:p w:rsidR="00F30832" w:rsidRDefault="00F8325F" w:rsidP="00F30832">
      <w:pPr>
        <w:ind w:left="709" w:right="26"/>
        <w:jc w:val="both"/>
        <w:rPr>
          <w:color w:val="FF0000"/>
        </w:rPr>
      </w:pPr>
      <w:r>
        <w:t xml:space="preserve">Ādažu novada domes 2017.gada 22.augusta </w:t>
      </w:r>
      <w:smartTag w:uri="schemas-tilde-lv/tildestengine" w:element="veidnes">
        <w:smartTagPr>
          <w:attr w:name="id" w:val="-1"/>
          <w:attr w:name="baseform" w:val="lēmums"/>
          <w:attr w:name="text" w:val="lēmums"/>
        </w:smartTagPr>
        <w:r>
          <w:t>lēmums</w:t>
        </w:r>
      </w:smartTag>
      <w:r>
        <w:t xml:space="preserve"> Nr. 194 un </w:t>
      </w:r>
      <w:r w:rsidR="00805548">
        <w:t>Ādažu novada domes 201</w:t>
      </w:r>
      <w:r w:rsidR="00453506">
        <w:t>8</w:t>
      </w:r>
      <w:r w:rsidR="00805548">
        <w:t xml:space="preserve">.gada </w:t>
      </w:r>
      <w:r w:rsidR="00453506">
        <w:t>13.aprīļa</w:t>
      </w:r>
      <w:r w:rsidR="00F30832">
        <w:t xml:space="preserve"> </w:t>
      </w:r>
      <w:smartTag w:uri="schemas-tilde-lv/tildestengine" w:element="veidnes">
        <w:smartTagPr>
          <w:attr w:name="id" w:val="-1"/>
          <w:attr w:name="baseform" w:val="lēmums"/>
          <w:attr w:name="text" w:val="lēmums"/>
        </w:smartTagPr>
        <w:r w:rsidR="00F30832">
          <w:t>lēmums</w:t>
        </w:r>
      </w:smartTag>
      <w:r w:rsidR="00805548">
        <w:t xml:space="preserve"> Nr. </w:t>
      </w:r>
      <w:r w:rsidR="00453506">
        <w:t>72</w:t>
      </w:r>
      <w:r w:rsidR="00F30832">
        <w:t>.</w:t>
      </w:r>
    </w:p>
    <w:p w:rsidR="000C31E3" w:rsidRDefault="000C31E3" w:rsidP="00B27748">
      <w:pPr>
        <w:ind w:left="720"/>
        <w:jc w:val="both"/>
        <w:rPr>
          <w:b/>
          <w:bCs/>
        </w:rPr>
      </w:pPr>
    </w:p>
    <w:p w:rsidR="00272811" w:rsidRDefault="00272811" w:rsidP="00272811">
      <w:pPr>
        <w:jc w:val="both"/>
      </w:pPr>
      <w:r>
        <w:rPr>
          <w:b/>
          <w:bCs/>
        </w:rPr>
        <w:t>Darba kārtībā:</w:t>
      </w:r>
    </w:p>
    <w:p w:rsidR="00272811" w:rsidRDefault="006E4456" w:rsidP="00272811">
      <w:pPr>
        <w:tabs>
          <w:tab w:val="left" w:pos="993"/>
        </w:tabs>
        <w:ind w:left="709"/>
        <w:jc w:val="both"/>
      </w:pPr>
      <w:r>
        <w:t>Atbilžu</w:t>
      </w:r>
      <w:r w:rsidR="00986081">
        <w:t xml:space="preserve"> sniegšana par iepirkuma </w:t>
      </w:r>
      <w:r w:rsidR="00272811" w:rsidRPr="00805548">
        <w:t>„</w:t>
      </w:r>
      <w:bookmarkStart w:id="0" w:name="_Hlk511806248"/>
      <w:r w:rsidR="00396FC2">
        <w:rPr>
          <w:lang w:eastAsia="lv-LV"/>
        </w:rPr>
        <w:t>Ādažu novada domes laikraksta “Ādažu vēstis” drukāšana</w:t>
      </w:r>
      <w:r w:rsidR="00453506" w:rsidRPr="00453506">
        <w:t>”, Ādažu novadā</w:t>
      </w:r>
      <w:r w:rsidR="006B68BA" w:rsidRPr="00453506">
        <w:t>”</w:t>
      </w:r>
      <w:r w:rsidR="00E77527">
        <w:t xml:space="preserve"> </w:t>
      </w:r>
      <w:r w:rsidR="003D1793">
        <w:t>(ID.</w:t>
      </w:r>
      <w:r w:rsidR="000041DC">
        <w:t xml:space="preserve"> </w:t>
      </w:r>
      <w:r w:rsidR="003D1793">
        <w:t xml:space="preserve">Nr.: </w:t>
      </w:r>
      <w:r w:rsidR="000B0A3D">
        <w:t xml:space="preserve">ĀND </w:t>
      </w:r>
      <w:r w:rsidR="00396FC2">
        <w:t>2018/93</w:t>
      </w:r>
      <w:r w:rsidR="00272811">
        <w:t>)</w:t>
      </w:r>
      <w:bookmarkEnd w:id="0"/>
      <w:r w:rsidR="00272811">
        <w:t xml:space="preserve"> </w:t>
      </w:r>
      <w:r>
        <w:t>tehniskajām specifikācijām</w:t>
      </w:r>
      <w:r w:rsidR="00272811">
        <w:t>.</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023654" w:rsidRDefault="000041DC" w:rsidP="006E4456">
      <w:pPr>
        <w:pStyle w:val="Sarakstarindkopa"/>
        <w:numPr>
          <w:ilvl w:val="0"/>
          <w:numId w:val="3"/>
        </w:numPr>
        <w:ind w:left="709" w:hanging="709"/>
        <w:jc w:val="both"/>
      </w:pPr>
      <w:r>
        <w:t>Z. Liepiņa</w:t>
      </w:r>
      <w:r w:rsidR="00272811">
        <w:t xml:space="preserve"> </w:t>
      </w:r>
      <w:r w:rsidR="00453506">
        <w:t>ziņo, ka ir saņemt</w:t>
      </w:r>
      <w:r w:rsidR="006E4456">
        <w:t>i</w:t>
      </w:r>
      <w:r w:rsidR="00453506">
        <w:t xml:space="preserve"> jautājum</w:t>
      </w:r>
      <w:r w:rsidR="006E4456">
        <w:t>i</w:t>
      </w:r>
      <w:r w:rsidR="00453506">
        <w:t xml:space="preserve"> no </w:t>
      </w:r>
      <w:r w:rsidR="00986081">
        <w:t>ieinteresētā</w:t>
      </w:r>
      <w:r w:rsidR="00453506">
        <w:t xml:space="preserve"> pretendenta </w:t>
      </w:r>
      <w:r w:rsidR="006E4456">
        <w:t>par tehniskajām specifikācijām.</w:t>
      </w:r>
    </w:p>
    <w:p w:rsidR="00986081" w:rsidRDefault="00986081" w:rsidP="00986081">
      <w:pPr>
        <w:pStyle w:val="Sarakstarindkopa"/>
        <w:numPr>
          <w:ilvl w:val="0"/>
          <w:numId w:val="3"/>
        </w:numPr>
        <w:ind w:left="709" w:hanging="709"/>
        <w:jc w:val="both"/>
      </w:pPr>
      <w:r>
        <w:t>Komisija lemj sniegt šād</w:t>
      </w:r>
      <w:r w:rsidR="006E4456">
        <w:t>as</w:t>
      </w:r>
      <w:r>
        <w:t xml:space="preserve"> atbild</w:t>
      </w:r>
      <w:r w:rsidR="006E4456">
        <w:t>es</w:t>
      </w:r>
      <w:r>
        <w:t>:</w:t>
      </w:r>
    </w:p>
    <w:tbl>
      <w:tblPr>
        <w:tblStyle w:val="Reatabula"/>
        <w:tblW w:w="8931" w:type="dxa"/>
        <w:tblInd w:w="137" w:type="dxa"/>
        <w:tblLook w:val="04A0" w:firstRow="1" w:lastRow="0" w:firstColumn="1" w:lastColumn="0" w:noHBand="0" w:noVBand="1"/>
      </w:tblPr>
      <w:tblGrid>
        <w:gridCol w:w="851"/>
        <w:gridCol w:w="2835"/>
        <w:gridCol w:w="5245"/>
      </w:tblGrid>
      <w:tr w:rsidR="006E4456" w:rsidRPr="006E4456" w:rsidTr="00094625">
        <w:tc>
          <w:tcPr>
            <w:tcW w:w="851" w:type="dxa"/>
          </w:tcPr>
          <w:p w:rsidR="006E4456" w:rsidRPr="006E4456" w:rsidRDefault="006E4456" w:rsidP="006E4456">
            <w:pPr>
              <w:pStyle w:val="Sarakstarindkopa"/>
              <w:ind w:left="26"/>
              <w:jc w:val="center"/>
              <w:rPr>
                <w:b/>
              </w:rPr>
            </w:pPr>
            <w:r w:rsidRPr="006E4456">
              <w:rPr>
                <w:b/>
              </w:rPr>
              <w:t>Nr. p.k.</w:t>
            </w:r>
          </w:p>
        </w:tc>
        <w:tc>
          <w:tcPr>
            <w:tcW w:w="2835" w:type="dxa"/>
          </w:tcPr>
          <w:p w:rsidR="006E4456" w:rsidRPr="006E4456" w:rsidRDefault="006E4456" w:rsidP="006E4456">
            <w:pPr>
              <w:jc w:val="center"/>
              <w:rPr>
                <w:b/>
              </w:rPr>
            </w:pPr>
            <w:r w:rsidRPr="006E4456">
              <w:rPr>
                <w:b/>
              </w:rPr>
              <w:t>Jautājums</w:t>
            </w:r>
          </w:p>
        </w:tc>
        <w:tc>
          <w:tcPr>
            <w:tcW w:w="5244" w:type="dxa"/>
          </w:tcPr>
          <w:p w:rsidR="006E4456" w:rsidRPr="006E4456" w:rsidRDefault="006E4456" w:rsidP="006E4456">
            <w:pPr>
              <w:pStyle w:val="Sarakstarindkopa"/>
              <w:ind w:left="0"/>
              <w:jc w:val="center"/>
              <w:rPr>
                <w:b/>
              </w:rPr>
            </w:pPr>
            <w:r w:rsidRPr="006E4456">
              <w:rPr>
                <w:b/>
              </w:rPr>
              <w:t>Atbilde</w:t>
            </w:r>
          </w:p>
        </w:tc>
      </w:tr>
      <w:tr w:rsidR="00B43B3B" w:rsidRPr="006E4456" w:rsidTr="00094625">
        <w:tc>
          <w:tcPr>
            <w:tcW w:w="851" w:type="dxa"/>
          </w:tcPr>
          <w:p w:rsidR="00B43B3B" w:rsidRPr="006E4456" w:rsidRDefault="00B43B3B" w:rsidP="006E4456">
            <w:pPr>
              <w:pStyle w:val="Sarakstarindkopa"/>
              <w:numPr>
                <w:ilvl w:val="0"/>
                <w:numId w:val="5"/>
              </w:numPr>
              <w:jc w:val="both"/>
            </w:pPr>
          </w:p>
        </w:tc>
        <w:tc>
          <w:tcPr>
            <w:tcW w:w="8080" w:type="dxa"/>
            <w:gridSpan w:val="2"/>
          </w:tcPr>
          <w:p w:rsidR="00B43B3B" w:rsidRPr="006E4456" w:rsidRDefault="00B43B3B" w:rsidP="00293D6A">
            <w:pPr>
              <w:pStyle w:val="Sarakstarindkopa"/>
              <w:ind w:left="0"/>
              <w:jc w:val="both"/>
            </w:pPr>
            <w:r>
              <w:rPr>
                <w:lang w:eastAsia="lv-LV"/>
              </w:rPr>
              <w:t>Tehniskajā specifikācijā ir norādīts: Laikraksta izgatavošana un piegāde jāveic 2 dienu laikā pēc avīzes maketa saņemšanas:</w:t>
            </w:r>
          </w:p>
        </w:tc>
      </w:tr>
      <w:tr w:rsidR="006E4456" w:rsidRPr="006E4456" w:rsidTr="00094625">
        <w:tc>
          <w:tcPr>
            <w:tcW w:w="851" w:type="dxa"/>
          </w:tcPr>
          <w:p w:rsidR="006E4456" w:rsidRPr="006E4456" w:rsidRDefault="006E4456" w:rsidP="00396FC2">
            <w:pPr>
              <w:pStyle w:val="Sarakstarindkopa"/>
              <w:numPr>
                <w:ilvl w:val="1"/>
                <w:numId w:val="5"/>
              </w:numPr>
              <w:jc w:val="both"/>
            </w:pPr>
          </w:p>
        </w:tc>
        <w:tc>
          <w:tcPr>
            <w:tcW w:w="2835" w:type="dxa"/>
          </w:tcPr>
          <w:p w:rsidR="006E4456" w:rsidRPr="006E4456" w:rsidRDefault="00396FC2" w:rsidP="006E4456">
            <w:pPr>
              <w:jc w:val="both"/>
            </w:pPr>
            <w:r>
              <w:t xml:space="preserve">Ņemot vērā, ka saņemot failus, Piegādātājam ir jāveic krāsu korekcija, jāsaskaņo ar Pasūtītāja kontaktpersonu </w:t>
            </w:r>
            <w:proofErr w:type="spellStart"/>
            <w:r>
              <w:t>SoftProof</w:t>
            </w:r>
            <w:proofErr w:type="spellEnd"/>
            <w:r>
              <w:t xml:space="preserve"> (drukas failu), vai Pasūtījuma izpildes termiņš skaitīsies no brīža, kad atnāk pirmais makets, vai arī no </w:t>
            </w:r>
            <w:proofErr w:type="spellStart"/>
            <w:r>
              <w:t>SoftProof</w:t>
            </w:r>
            <w:proofErr w:type="spellEnd"/>
            <w:r>
              <w:t xml:space="preserve"> apstiprināšanas?</w:t>
            </w:r>
          </w:p>
        </w:tc>
        <w:tc>
          <w:tcPr>
            <w:tcW w:w="5244" w:type="dxa"/>
          </w:tcPr>
          <w:p w:rsidR="006E4456" w:rsidRPr="006E4456" w:rsidRDefault="00B43B3B" w:rsidP="00293D6A">
            <w:pPr>
              <w:pStyle w:val="Sarakstarindkopa"/>
              <w:ind w:left="0"/>
              <w:jc w:val="both"/>
            </w:pPr>
            <w:r>
              <w:t xml:space="preserve">Specifikācijā ar jēdzienu “veikt krāsu korekciju” ir domāts – pārbaudīt, vai iesniegtajā drukas failā visas krāsas atbilst drukas nosacījumiem – ir CMYK sistēmā. Specifikācija neparedz </w:t>
            </w:r>
            <w:proofErr w:type="spellStart"/>
            <w:r>
              <w:t>Soft</w:t>
            </w:r>
            <w:proofErr w:type="spellEnd"/>
            <w:r>
              <w:t xml:space="preserve"> </w:t>
            </w:r>
            <w:proofErr w:type="spellStart"/>
            <w:r>
              <w:t>Proof</w:t>
            </w:r>
            <w:proofErr w:type="spellEnd"/>
            <w:r>
              <w:t xml:space="preserve"> skaņošanu, jo Jūs saņemsiet jau pilnībā sagatavotu drukas failu. Saņemot gatavu drukas failu, pirms drukāšanas Jums tikai jāpārbauda, jāpārliecinās, vai tiešām visas krāsas un ievietotie attēli atbilst CMYK.  Izpildes termiņš ir no brīža, kad Jūs saņemsiet pirmo un vienīgo drukas failu (</w:t>
            </w:r>
            <w:r w:rsidR="00094625">
              <w:t>s</w:t>
            </w:r>
            <w:r>
              <w:t>avā jautājumā minat jēdzienu “pirmais makets”, bet citu maketu nebūs,  Jūs saņemsiet tikai vienu maketu)</w:t>
            </w:r>
            <w:r w:rsidR="00094625">
              <w:t xml:space="preserve">. </w:t>
            </w:r>
            <w:r>
              <w:t>Drukas failu mēs iesniedzam CMYK, Jums pirms  drukāšanas procesa jāpārbauda tikai tas, vai nav ieviesusies kāda kļūda, un ja ir, tad jākoriģē, jāpārveido CMYK. Ja gadījumā kāds attēls vai krāsa neatbilst CMYK un Jūs to salabojat, pēc šī labojuma veikšanas Jums nav jāatrāda pasūtītājam fails</w:t>
            </w:r>
            <w:r w:rsidR="00094625">
              <w:t>.</w:t>
            </w:r>
          </w:p>
        </w:tc>
      </w:tr>
      <w:tr w:rsidR="006E4456" w:rsidRPr="006E4456" w:rsidTr="00094625">
        <w:tc>
          <w:tcPr>
            <w:tcW w:w="851" w:type="dxa"/>
          </w:tcPr>
          <w:p w:rsidR="006E4456" w:rsidRPr="006E4456" w:rsidRDefault="006E4456" w:rsidP="00396FC2">
            <w:pPr>
              <w:pStyle w:val="Sarakstarindkopa"/>
              <w:numPr>
                <w:ilvl w:val="1"/>
                <w:numId w:val="5"/>
              </w:numPr>
              <w:jc w:val="both"/>
            </w:pPr>
          </w:p>
        </w:tc>
        <w:tc>
          <w:tcPr>
            <w:tcW w:w="2835" w:type="dxa"/>
          </w:tcPr>
          <w:p w:rsidR="006E4456" w:rsidRPr="006E4456" w:rsidRDefault="00396FC2" w:rsidP="006E4456">
            <w:pPr>
              <w:jc w:val="both"/>
            </w:pPr>
            <w:r>
              <w:t xml:space="preserve">Ņemot vērā tehnisko specifikāciju un darba apjomu, ražošanas process neparedz tik īsu izpildes termiņu kvalitatīvu darba veikšanai, piemēram, nodrukātam darbam ar ofseta laku ir jāžūst vismaz diennakti pirms </w:t>
            </w:r>
            <w:proofErr w:type="spellStart"/>
            <w:r>
              <w:t>skavošanas</w:t>
            </w:r>
            <w:proofErr w:type="spellEnd"/>
            <w:r>
              <w:t xml:space="preserve">. </w:t>
            </w:r>
            <w:r w:rsidR="00AD5158">
              <w:t>Lūdzu izmainīt drukas darbu izpildes termiņu līdz 4 darba dienām.</w:t>
            </w:r>
          </w:p>
        </w:tc>
        <w:tc>
          <w:tcPr>
            <w:tcW w:w="5244" w:type="dxa"/>
          </w:tcPr>
          <w:p w:rsidR="006E4456" w:rsidRDefault="00B43B3B" w:rsidP="00293D6A">
            <w:pPr>
              <w:pStyle w:val="Sarakstarindkopa"/>
              <w:ind w:left="0"/>
              <w:jc w:val="both"/>
            </w:pPr>
            <w:r>
              <w:t>Ņemot vērā, ka izdevuma veidošanas procesā drukāšana ir noslēdzošais posms, kā arī faktu, ka aktuālākā, svarīgākā, pēdējā informācija bieži maketā ir jāaizstāj ar informāciju, kas jau ir samaketēta, izdevējs nevar izdevuma drukāšanai atvēlēt 4 darba dienas. Izdevuma veidošana iekļauj</w:t>
            </w:r>
            <w:r>
              <w:t>:</w:t>
            </w:r>
            <w:r>
              <w:t xml:space="preserve"> materiālu rakstīšanu, rediģēšanu, izdevuma apjoma aprēķināšanu, maketēšanu, korektūru, gan arī īpaši svarīgu ziņu iekļaušanu un nomainīšanu jau saliktajā maketā.</w:t>
            </w:r>
          </w:p>
          <w:p w:rsidR="00B43B3B" w:rsidRDefault="00B43B3B" w:rsidP="00293D6A">
            <w:pPr>
              <w:pStyle w:val="Sarakstarindkopa"/>
              <w:ind w:left="0"/>
              <w:jc w:val="both"/>
            </w:pPr>
            <w:r>
              <w:t>Tā kā avīzes izplatīšana visā novadā kopumā aizņem 4 dienas, vēl 4 darba dienas atvēlēt drukas un pēcapstrādes procesam nozīmētu, ka labākajā gadījumā 8 dienas (pieskaitot brīvdienas, 10 dienas) redaktors nevar iekļaut pēdējo informāciju konkrētajā izdevumā</w:t>
            </w:r>
            <w:r w:rsidR="00094625">
              <w:t>.</w:t>
            </w:r>
          </w:p>
          <w:p w:rsidR="00B43B3B" w:rsidRDefault="00B43B3B" w:rsidP="00293D6A">
            <w:pPr>
              <w:pStyle w:val="Sarakstarindkopa"/>
              <w:ind w:left="0"/>
              <w:jc w:val="both"/>
            </w:pPr>
            <w:proofErr w:type="spellStart"/>
            <w:r>
              <w:t>Offset</w:t>
            </w:r>
            <w:proofErr w:type="spellEnd"/>
            <w:r>
              <w:t xml:space="preserve"> drukai ir jāžūst 24h, tāpēc darbu izpilde netiek prasīta 24h, bet gan 48h. Tas nozīmē, ka atlikušajās 24h var veikt pārējos darbus</w:t>
            </w:r>
            <w:r>
              <w:t xml:space="preserve">. </w:t>
            </w:r>
          </w:p>
          <w:p w:rsidR="00B43B3B" w:rsidRDefault="00094625" w:rsidP="00293D6A">
            <w:pPr>
              <w:pStyle w:val="Sarakstarindkopa"/>
              <w:ind w:left="0"/>
              <w:jc w:val="both"/>
            </w:pPr>
            <w:r>
              <w:t>Iepirkums</w:t>
            </w:r>
            <w:r w:rsidR="00B43B3B">
              <w:t xml:space="preserve"> ar šādu darbu termiņu tiek izsludināts jau vairākus gadus pēc kārtas, līdz šim neviens pretendents nav iesniedzis iebildumus par tehniskās specifikācijas darbu izpildes termiņu, kas nozīmē, ka darbus ir iespējams paveikt prasītajā termiņā, prasmīgi organizējot darba procesu</w:t>
            </w:r>
            <w:r w:rsidR="00B43B3B">
              <w:t xml:space="preserve">. </w:t>
            </w:r>
          </w:p>
          <w:p w:rsidR="00B43B3B" w:rsidRDefault="00B43B3B" w:rsidP="00293D6A">
            <w:pPr>
              <w:pStyle w:val="Sarakstarindkopa"/>
              <w:ind w:left="0"/>
              <w:jc w:val="both"/>
            </w:pPr>
            <w:r>
              <w:t xml:space="preserve">To, ka izpildes termiņš </w:t>
            </w:r>
            <w:r w:rsidRPr="007015E8">
              <w:t>(2 dienas)</w:t>
            </w:r>
            <w:r>
              <w:t xml:space="preserve"> nav unikāls, apliecina līdzīga izdevuma drukas termiņi citās pašvaldībās, piemēram, Carnikavā</w:t>
            </w:r>
            <w:r>
              <w:t>.</w:t>
            </w:r>
          </w:p>
          <w:p w:rsidR="00B43B3B" w:rsidRDefault="00B43B3B" w:rsidP="00293D6A">
            <w:pPr>
              <w:pStyle w:val="Sarakstarindkopa"/>
              <w:ind w:left="0"/>
              <w:jc w:val="both"/>
            </w:pPr>
            <w:r>
              <w:t>Līdz šim šādā termiņā  darbus ir spējušas paveikt trīs dažādas tipogrāfijas, kas darbojas šeit pat, Latvijā</w:t>
            </w:r>
            <w:r>
              <w:t>.</w:t>
            </w:r>
          </w:p>
          <w:p w:rsidR="00094625" w:rsidRDefault="00094625" w:rsidP="00094625">
            <w:pPr>
              <w:spacing w:before="120"/>
              <w:jc w:val="both"/>
            </w:pPr>
            <w:r>
              <w:t>Papildus iepirkuma</w:t>
            </w:r>
            <w:r w:rsidRPr="002C16C8">
              <w:t xml:space="preserve"> komisija norāda, ka tā ir pasūtītāja prerogatīva izvirzīt</w:t>
            </w:r>
            <w:r>
              <w:t xml:space="preserve"> </w:t>
            </w:r>
            <w:r w:rsidRPr="002C16C8">
              <w:t>iepirkuma procedūras dokumentos savām vajadzībām atbilstošas, objektīvi pamatotas</w:t>
            </w:r>
            <w:r>
              <w:t xml:space="preserve"> </w:t>
            </w:r>
            <w:r w:rsidRPr="002C16C8">
              <w:t>prasības, vienlaikus ievērojot iepirkuma jomu regulējošajos normatīvajos aktos ietverto</w:t>
            </w:r>
            <w:r>
              <w:t xml:space="preserve"> </w:t>
            </w:r>
            <w:r w:rsidRPr="002C16C8">
              <w:t>vienlīdzības un brīvas konkurences principu. Proti, pretendentiem ir jāņem vērā, ka</w:t>
            </w:r>
            <w:r>
              <w:t xml:space="preserve"> </w:t>
            </w:r>
            <w:r w:rsidRPr="002C16C8">
              <w:t>pasūtītāja reālo vajadzību noteikšana ir pasūtītāja ekskluzīva kompetence, un tikai pats</w:t>
            </w:r>
            <w:r>
              <w:t xml:space="preserve"> </w:t>
            </w:r>
            <w:r w:rsidRPr="002C16C8">
              <w:t>pasūtītājs vislabāk zina un var izvērtēt, kādas tieši prasības izvirzīt precei un</w:t>
            </w:r>
            <w:r>
              <w:t xml:space="preserve"> </w:t>
            </w:r>
            <w:r w:rsidRPr="002C16C8">
              <w:t xml:space="preserve">pakalpojumiem, lai nodrošinātu savām vajadzībām atbilstošas preces vai pakalpojuma saņemšanu. </w:t>
            </w:r>
          </w:p>
          <w:p w:rsidR="00094625" w:rsidRDefault="00094625" w:rsidP="00094625">
            <w:pPr>
              <w:spacing w:before="120"/>
              <w:jc w:val="both"/>
            </w:pPr>
            <w:r w:rsidRPr="002C16C8">
              <w:t>Augstākās tiesas Administratīvo lietu departaments savā 2016.gada 17.maija</w:t>
            </w:r>
            <w:r>
              <w:t xml:space="preserve"> </w:t>
            </w:r>
            <w:r w:rsidRPr="002C16C8">
              <w:t>rīcības sēdes lēmumā lietā Nr.SKA-108/2016 ir atzinis, ka konkursa nolikuma prasību</w:t>
            </w:r>
            <w:r>
              <w:t xml:space="preserve"> </w:t>
            </w:r>
            <w:r w:rsidRPr="002C16C8">
              <w:t>noteikšana ir pasūtītāja rīcības brīvība; tā ir vērsta uz to, lai piedāvājums atbilstu</w:t>
            </w:r>
            <w:r>
              <w:t xml:space="preserve"> </w:t>
            </w:r>
            <w:r w:rsidRPr="002C16C8">
              <w:t>pasūtītāja iecerēm un tas saņemtu iepirkuma priekšmetam atbilstošu un kvalitatīvu</w:t>
            </w:r>
            <w:r>
              <w:t xml:space="preserve"> i</w:t>
            </w:r>
            <w:r w:rsidRPr="002C16C8">
              <w:t>zpildījumu</w:t>
            </w:r>
            <w:r>
              <w:t xml:space="preserve">. </w:t>
            </w:r>
          </w:p>
          <w:p w:rsidR="00094625" w:rsidRDefault="00094625" w:rsidP="00094625">
            <w:pPr>
              <w:spacing w:before="120"/>
              <w:jc w:val="both"/>
            </w:pPr>
            <w:r>
              <w:t xml:space="preserve">Turklāt arī </w:t>
            </w:r>
            <w:r w:rsidRPr="003E3A05">
              <w:t>Augstākās tiesas Administratīvo lietu departamenta 2017.gada 7.jūlija spriedumā</w:t>
            </w:r>
            <w:r>
              <w:t xml:space="preserve"> lietā Nr.SKA-228/2017 ietverti</w:t>
            </w:r>
            <w:r w:rsidRPr="003E3A05">
              <w:t xml:space="preserve"> secinājumi, ka ne iespējamais pretendents, ne tiesa nevar iejaukties pasūtītāja kompetencē, nosakot, kādām prasībām atbilstošs priekšmets tam jāiegādājas; strīdus prasības nav vērstas uz to, lai tiktu iegādātas konkrēta ražotāja (piegādātāja) iekārtas, bet gan ir pamatotas ar </w:t>
            </w:r>
            <w:r>
              <w:t xml:space="preserve">konkrētām pasūtītāja vajadzībām. </w:t>
            </w:r>
          </w:p>
          <w:p w:rsidR="00B43B3B" w:rsidRPr="006E4456" w:rsidRDefault="00094625" w:rsidP="00094625">
            <w:pPr>
              <w:pStyle w:val="Sarakstarindkopa"/>
              <w:ind w:left="0"/>
              <w:jc w:val="both"/>
            </w:pPr>
            <w:r>
              <w:t>Tādējādi iepirkuma komisijas vērtējumā tehniskā  specifikācija ir sagatavota atbilstoši Publisko iepirkumu likuma noteikumiem.</w:t>
            </w:r>
          </w:p>
        </w:tc>
      </w:tr>
      <w:tr w:rsidR="00396FC2" w:rsidRPr="006E4456" w:rsidTr="00094625">
        <w:tc>
          <w:tcPr>
            <w:tcW w:w="851" w:type="dxa"/>
          </w:tcPr>
          <w:p w:rsidR="00396FC2" w:rsidRPr="006E4456" w:rsidRDefault="00396FC2" w:rsidP="006E4456">
            <w:pPr>
              <w:pStyle w:val="Sarakstarindkopa"/>
              <w:numPr>
                <w:ilvl w:val="0"/>
                <w:numId w:val="5"/>
              </w:numPr>
              <w:jc w:val="both"/>
            </w:pPr>
          </w:p>
        </w:tc>
        <w:tc>
          <w:tcPr>
            <w:tcW w:w="2835" w:type="dxa"/>
          </w:tcPr>
          <w:p w:rsidR="00396FC2" w:rsidRPr="006E4456" w:rsidRDefault="00AD5158" w:rsidP="006E4456">
            <w:pPr>
              <w:jc w:val="both"/>
            </w:pPr>
            <w:r>
              <w:t>Vai būtu iespējams saņemt esošā laikraksta paraugu precīza piedāvājuma sagatavošanai?</w:t>
            </w:r>
          </w:p>
        </w:tc>
        <w:tc>
          <w:tcPr>
            <w:tcW w:w="5244" w:type="dxa"/>
          </w:tcPr>
          <w:p w:rsidR="00396FC2" w:rsidRPr="006E4456" w:rsidRDefault="00B43B3B" w:rsidP="00293D6A">
            <w:pPr>
              <w:pStyle w:val="Sarakstarindkopa"/>
              <w:ind w:left="0"/>
              <w:jc w:val="both"/>
            </w:pPr>
            <w:r>
              <w:t>Jūs varat iepazīties ar izdevumu “Ādažu Vēstis” drukātā formātā</w:t>
            </w:r>
            <w:r>
              <w:t xml:space="preserve">, ierodoties personīgi Ādažu novada domes Klientu apkalpošanas centrā (darba dienās tā darba laikā), vai arī pa pastu, pieprasījumu nosūtot elektroniski nolikumā norādītajai kontaktpersonai. Papildus informējam, ka ar laikraksta elektronisko versiju varat iepazīties Pasūtītāja mājas lapā: </w:t>
            </w:r>
            <w:hyperlink r:id="rId5" w:history="1">
              <w:r w:rsidRPr="00A2563A">
                <w:rPr>
                  <w:rStyle w:val="Hipersaite"/>
                </w:rPr>
                <w:t>https://www.adazi.lv/adazu-vestis/</w:t>
              </w:r>
            </w:hyperlink>
            <w:r>
              <w:t xml:space="preserve">. </w:t>
            </w:r>
          </w:p>
        </w:tc>
      </w:tr>
    </w:tbl>
    <w:p w:rsidR="00293D6A" w:rsidRDefault="00293D6A" w:rsidP="00293D6A">
      <w:pPr>
        <w:pStyle w:val="Sarakstarindkopa"/>
        <w:ind w:left="709"/>
        <w:jc w:val="both"/>
      </w:pPr>
    </w:p>
    <w:p w:rsidR="001E582C" w:rsidRDefault="001E582C" w:rsidP="00293D6A">
      <w:pPr>
        <w:pStyle w:val="Sarakstarindkopa"/>
        <w:ind w:left="709"/>
        <w:jc w:val="both"/>
      </w:pPr>
    </w:p>
    <w:p w:rsidR="00272811" w:rsidRDefault="00272811" w:rsidP="000C31E3">
      <w:pPr>
        <w:shd w:val="clear" w:color="auto" w:fill="DBE5F1" w:themeFill="accent1" w:themeFillTint="33"/>
        <w:jc w:val="both"/>
        <w:rPr>
          <w:b/>
          <w:bCs/>
        </w:rPr>
      </w:pPr>
      <w:r>
        <w:rPr>
          <w:b/>
          <w:bCs/>
        </w:rPr>
        <w:t xml:space="preserve">Komisija nolemj: </w:t>
      </w:r>
    </w:p>
    <w:p w:rsidR="00986081" w:rsidRDefault="00986081" w:rsidP="00986081">
      <w:pPr>
        <w:numPr>
          <w:ilvl w:val="0"/>
          <w:numId w:val="1"/>
        </w:numPr>
        <w:shd w:val="clear" w:color="auto" w:fill="DBE5F1" w:themeFill="accent1" w:themeFillTint="33"/>
        <w:tabs>
          <w:tab w:val="num" w:pos="720"/>
        </w:tabs>
        <w:ind w:left="720" w:hanging="720"/>
        <w:jc w:val="both"/>
      </w:pPr>
      <w:r>
        <w:t>Atbalstīt sagatavot</w:t>
      </w:r>
      <w:r w:rsidR="006E4456">
        <w:t>ās</w:t>
      </w:r>
      <w:r>
        <w:t xml:space="preserve"> atbild</w:t>
      </w:r>
      <w:r w:rsidR="006E4456">
        <w:t>es</w:t>
      </w:r>
      <w:r>
        <w:t xml:space="preserve"> par iepirkuma </w:t>
      </w:r>
      <w:r w:rsidRPr="00E77527">
        <w:t>„</w:t>
      </w:r>
      <w:r w:rsidR="00396FC2">
        <w:rPr>
          <w:lang w:eastAsia="lv-LV"/>
        </w:rPr>
        <w:t>Ādažu novada domes laikraksta “Ādažu vēstis” drukāšana</w:t>
      </w:r>
      <w:r w:rsidR="007E489A" w:rsidRPr="00453506">
        <w:t>”, Ādažu novadā”</w:t>
      </w:r>
      <w:r w:rsidR="007E489A">
        <w:t xml:space="preserve"> (ID. Nr.: ĀND </w:t>
      </w:r>
      <w:r w:rsidR="00396FC2">
        <w:t>2018/93</w:t>
      </w:r>
      <w:r>
        <w:t>) nolikum</w:t>
      </w:r>
      <w:r w:rsidR="004A5B2F">
        <w:t xml:space="preserve">a </w:t>
      </w:r>
      <w:r w:rsidR="006E4456">
        <w:t>tehniskajām specifikācijām</w:t>
      </w:r>
      <w:r>
        <w:t>;</w:t>
      </w:r>
    </w:p>
    <w:p w:rsidR="00986081" w:rsidRDefault="00293D6A" w:rsidP="00986081">
      <w:pPr>
        <w:numPr>
          <w:ilvl w:val="0"/>
          <w:numId w:val="1"/>
        </w:numPr>
        <w:shd w:val="clear" w:color="auto" w:fill="DBE5F1" w:themeFill="accent1" w:themeFillTint="33"/>
        <w:tabs>
          <w:tab w:val="num" w:pos="720"/>
        </w:tabs>
        <w:ind w:left="720" w:hanging="720"/>
        <w:jc w:val="both"/>
      </w:pPr>
      <w:r>
        <w:t>Z. Liepiņai</w:t>
      </w:r>
      <w:r w:rsidR="00986081">
        <w:t xml:space="preserve"> publicēt sniegto skaidrojumu ĀND mājaslapā un nosūtīt </w:t>
      </w:r>
      <w:r>
        <w:t xml:space="preserve">atbildi </w:t>
      </w:r>
      <w:r w:rsidR="00986081">
        <w:t>arī jautājum</w:t>
      </w:r>
      <w:r>
        <w:t>a</w:t>
      </w:r>
      <w:r w:rsidR="00986081">
        <w:t xml:space="preserve"> uzdevējam.</w:t>
      </w:r>
    </w:p>
    <w:p w:rsidR="00293D6A" w:rsidRDefault="00293D6A"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8C4B3C">
        <w:t>ekšsēdētājs</w:t>
      </w:r>
      <w:r w:rsidR="00E14B63">
        <w:t xml:space="preserve"> sēdi </w:t>
      </w:r>
      <w:r w:rsidR="00533F59">
        <w:t>slēdz plkst. 10:3</w:t>
      </w:r>
      <w:r>
        <w:t>0.</w:t>
      </w:r>
    </w:p>
    <w:p w:rsidR="00272811" w:rsidRDefault="00272811" w:rsidP="00272811">
      <w:pPr>
        <w:jc w:val="both"/>
      </w:pPr>
    </w:p>
    <w:p w:rsidR="00272811" w:rsidRDefault="00272811" w:rsidP="00272811">
      <w:pPr>
        <w:jc w:val="both"/>
        <w:rPr>
          <w:b/>
        </w:rPr>
      </w:pPr>
      <w:r>
        <w:rPr>
          <w:b/>
        </w:rPr>
        <w:t xml:space="preserve">Pielikumā:  </w:t>
      </w:r>
    </w:p>
    <w:p w:rsidR="00986081" w:rsidRDefault="00986081" w:rsidP="00986081">
      <w:pPr>
        <w:numPr>
          <w:ilvl w:val="0"/>
          <w:numId w:val="2"/>
        </w:numPr>
        <w:ind w:hanging="720"/>
        <w:jc w:val="both"/>
      </w:pPr>
      <w:r>
        <w:t>Ieinteresētā pretendenta jautājumu vēstule;</w:t>
      </w:r>
    </w:p>
    <w:p w:rsidR="00986081" w:rsidRDefault="00986081" w:rsidP="00986081">
      <w:pPr>
        <w:numPr>
          <w:ilvl w:val="0"/>
          <w:numId w:val="2"/>
        </w:numPr>
        <w:ind w:hanging="720"/>
        <w:jc w:val="both"/>
      </w:pPr>
      <w:r>
        <w:t>Izdruka no ĀND mājas lapas;</w:t>
      </w:r>
    </w:p>
    <w:p w:rsidR="00272811" w:rsidRDefault="00272811" w:rsidP="00272811">
      <w:pPr>
        <w:jc w:val="both"/>
      </w:pPr>
    </w:p>
    <w:p w:rsidR="001E582C" w:rsidRDefault="001E582C" w:rsidP="00272811">
      <w:pPr>
        <w:jc w:val="both"/>
      </w:pPr>
    </w:p>
    <w:p w:rsidR="001E582C" w:rsidRDefault="001E582C" w:rsidP="00272811">
      <w:pPr>
        <w:jc w:val="both"/>
      </w:pPr>
    </w:p>
    <w:p w:rsidR="001E582C" w:rsidRDefault="001E582C" w:rsidP="00272811">
      <w:pPr>
        <w:jc w:val="both"/>
      </w:pPr>
    </w:p>
    <w:p w:rsidR="00B84141" w:rsidRDefault="00B84141" w:rsidP="00272811">
      <w:pPr>
        <w:jc w:val="both"/>
      </w:pPr>
    </w:p>
    <w:p w:rsidR="00E14B63" w:rsidRDefault="00120ACA" w:rsidP="00E14B63">
      <w:pPr>
        <w:ind w:right="-694"/>
        <w:jc w:val="both"/>
      </w:pPr>
      <w:r>
        <w:t>Ko</w:t>
      </w:r>
      <w:r w:rsidR="008C4B3C">
        <w:t>misijas priekšsēdētāj</w:t>
      </w:r>
      <w:r w:rsidR="00986081">
        <w:t>s</w:t>
      </w:r>
      <w:r>
        <w:t>:</w:t>
      </w:r>
      <w:r w:rsidR="008C4B3C">
        <w:tab/>
      </w:r>
      <w:r w:rsidR="00986081">
        <w:tab/>
      </w:r>
      <w:r>
        <w:t xml:space="preserve"> </w:t>
      </w:r>
      <w:r w:rsidR="00E14B63">
        <w:t>_____________________</w:t>
      </w:r>
      <w:r w:rsidR="00E14B63">
        <w:tab/>
      </w:r>
      <w:r w:rsidR="00986081">
        <w:t>V. Bulāns</w:t>
      </w:r>
      <w:r w:rsidR="00E14B63">
        <w:t xml:space="preserve"> </w:t>
      </w:r>
    </w:p>
    <w:p w:rsidR="00E14B63" w:rsidRDefault="00E14B63" w:rsidP="00E14B63">
      <w:pPr>
        <w:ind w:right="-694"/>
        <w:jc w:val="both"/>
      </w:pPr>
    </w:p>
    <w:p w:rsidR="00986081" w:rsidRDefault="00E14B63" w:rsidP="000B4CF5">
      <w:pPr>
        <w:ind w:right="-694"/>
        <w:jc w:val="both"/>
      </w:pPr>
      <w:r>
        <w:t>Komisijas locekļi:</w:t>
      </w:r>
      <w:r>
        <w:tab/>
      </w:r>
      <w:r w:rsidR="00097C01">
        <w:tab/>
      </w:r>
      <w:r w:rsidR="00097C01">
        <w:tab/>
      </w:r>
      <w:r w:rsidR="00986081">
        <w:t>_____________________</w:t>
      </w:r>
      <w:r w:rsidR="00986081">
        <w:tab/>
        <w:t>E. Kāpa</w:t>
      </w:r>
    </w:p>
    <w:p w:rsidR="00986081" w:rsidRDefault="00986081" w:rsidP="000B4CF5">
      <w:pPr>
        <w:ind w:right="-694"/>
        <w:jc w:val="both"/>
      </w:pPr>
    </w:p>
    <w:p w:rsidR="00284A5E" w:rsidRDefault="00284A5E" w:rsidP="00E14B63">
      <w:r>
        <w:tab/>
      </w:r>
      <w:r>
        <w:tab/>
      </w:r>
      <w:r>
        <w:tab/>
      </w:r>
      <w:r>
        <w:tab/>
      </w:r>
      <w:r>
        <w:tab/>
        <w:t>_____________________</w:t>
      </w:r>
      <w:r>
        <w:tab/>
      </w:r>
      <w:r w:rsidR="00A87DEE">
        <w:t>H. Krasts</w:t>
      </w:r>
    </w:p>
    <w:p w:rsidR="00FC6BB4" w:rsidRDefault="00FC6BB4" w:rsidP="00E14B63"/>
    <w:p w:rsidR="00FC6BB4" w:rsidRDefault="00FC6BB4" w:rsidP="00E14B63">
      <w:r>
        <w:tab/>
      </w:r>
      <w:r>
        <w:tab/>
      </w:r>
      <w:r>
        <w:tab/>
      </w:r>
      <w:r>
        <w:tab/>
      </w:r>
      <w:r>
        <w:tab/>
        <w:t>_____________________</w:t>
      </w:r>
      <w:r>
        <w:tab/>
      </w:r>
      <w:r w:rsidR="00A87DEE">
        <w:t>U. Dambis</w:t>
      </w:r>
    </w:p>
    <w:p w:rsidR="00FC6BB4" w:rsidRDefault="00FC6BB4" w:rsidP="00E14B63"/>
    <w:p w:rsidR="00E14B63" w:rsidRDefault="00986081" w:rsidP="00E14B63">
      <w:r>
        <w:tab/>
      </w:r>
      <w:r>
        <w:tab/>
      </w:r>
      <w:r>
        <w:tab/>
      </w:r>
      <w:r>
        <w:tab/>
      </w:r>
      <w:r w:rsidR="00221F45">
        <w:tab/>
      </w:r>
      <w:r w:rsidR="00FC6BB4">
        <w:t>_____________________</w:t>
      </w:r>
      <w:r w:rsidR="00FC6BB4">
        <w:tab/>
      </w:r>
      <w:r w:rsidR="000041DC">
        <w:t>Z</w:t>
      </w:r>
      <w:r w:rsidR="00FC6BB4">
        <w:t>. Liepiņa</w:t>
      </w:r>
      <w:r w:rsidR="000041DC">
        <w:t xml:space="preserve"> </w:t>
      </w:r>
    </w:p>
    <w:p w:rsidR="00D54948" w:rsidRDefault="00A87DEE" w:rsidP="00E14B63">
      <w:r>
        <w:tab/>
      </w:r>
    </w:p>
    <w:p w:rsidR="00D54948" w:rsidRDefault="00D54948" w:rsidP="00E14B63">
      <w:r>
        <w:t>Iepirkumu speciālists:</w:t>
      </w:r>
      <w:r>
        <w:tab/>
      </w:r>
      <w:r>
        <w:tab/>
      </w:r>
      <w:r>
        <w:tab/>
        <w:t>_____________________</w:t>
      </w:r>
      <w:r>
        <w:tab/>
        <w:t>A. Liepiņa-Jākobsone</w:t>
      </w:r>
    </w:p>
    <w:sectPr w:rsidR="00D54948" w:rsidSect="00A87DEE">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iTLat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15:restartNumberingAfterBreak="0">
    <w:nsid w:val="53506D22"/>
    <w:multiLevelType w:val="multilevel"/>
    <w:tmpl w:val="F1F86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B046C29"/>
    <w:multiLevelType w:val="multilevel"/>
    <w:tmpl w:val="CCC40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1F33C3"/>
    <w:multiLevelType w:val="hybridMultilevel"/>
    <w:tmpl w:val="9F028E42"/>
    <w:lvl w:ilvl="0" w:tplc="04260015">
      <w:start w:val="14"/>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5D"/>
    <w:rsid w:val="000041DC"/>
    <w:rsid w:val="00023654"/>
    <w:rsid w:val="00094625"/>
    <w:rsid w:val="0009587F"/>
    <w:rsid w:val="00097C01"/>
    <w:rsid w:val="000B0A3D"/>
    <w:rsid w:val="000B0B2D"/>
    <w:rsid w:val="000B4CF5"/>
    <w:rsid w:val="000C04A9"/>
    <w:rsid w:val="000C31E3"/>
    <w:rsid w:val="00114EB6"/>
    <w:rsid w:val="00120ACA"/>
    <w:rsid w:val="001464BD"/>
    <w:rsid w:val="00146516"/>
    <w:rsid w:val="001C7727"/>
    <w:rsid w:val="001D5B3D"/>
    <w:rsid w:val="001E56B8"/>
    <w:rsid w:val="001E582C"/>
    <w:rsid w:val="001F4577"/>
    <w:rsid w:val="0020090F"/>
    <w:rsid w:val="00221F45"/>
    <w:rsid w:val="0024011D"/>
    <w:rsid w:val="002716BB"/>
    <w:rsid w:val="00272811"/>
    <w:rsid w:val="00284A5E"/>
    <w:rsid w:val="00293D6A"/>
    <w:rsid w:val="002970BC"/>
    <w:rsid w:val="002A1C45"/>
    <w:rsid w:val="002A54C7"/>
    <w:rsid w:val="002A72D5"/>
    <w:rsid w:val="003241BF"/>
    <w:rsid w:val="00347760"/>
    <w:rsid w:val="00381801"/>
    <w:rsid w:val="00396FC2"/>
    <w:rsid w:val="003C5717"/>
    <w:rsid w:val="003D1793"/>
    <w:rsid w:val="003D52F4"/>
    <w:rsid w:val="003D595D"/>
    <w:rsid w:val="003D78D5"/>
    <w:rsid w:val="003E6729"/>
    <w:rsid w:val="0045036C"/>
    <w:rsid w:val="0045072A"/>
    <w:rsid w:val="00453506"/>
    <w:rsid w:val="00463D9A"/>
    <w:rsid w:val="004671C4"/>
    <w:rsid w:val="00480548"/>
    <w:rsid w:val="00487F2D"/>
    <w:rsid w:val="00493DFD"/>
    <w:rsid w:val="004A5B2F"/>
    <w:rsid w:val="004C478A"/>
    <w:rsid w:val="004C6313"/>
    <w:rsid w:val="004E5069"/>
    <w:rsid w:val="0051026F"/>
    <w:rsid w:val="00533F59"/>
    <w:rsid w:val="00553B33"/>
    <w:rsid w:val="00570800"/>
    <w:rsid w:val="005770F2"/>
    <w:rsid w:val="00580D28"/>
    <w:rsid w:val="005913ED"/>
    <w:rsid w:val="005D66B5"/>
    <w:rsid w:val="00600BFE"/>
    <w:rsid w:val="006208C5"/>
    <w:rsid w:val="00650725"/>
    <w:rsid w:val="006B2C5B"/>
    <w:rsid w:val="006B41FA"/>
    <w:rsid w:val="006B4E61"/>
    <w:rsid w:val="006B6501"/>
    <w:rsid w:val="006B68BA"/>
    <w:rsid w:val="006D295B"/>
    <w:rsid w:val="006E4456"/>
    <w:rsid w:val="006E5EEB"/>
    <w:rsid w:val="007079A4"/>
    <w:rsid w:val="00766450"/>
    <w:rsid w:val="007E489A"/>
    <w:rsid w:val="007F11DF"/>
    <w:rsid w:val="00805173"/>
    <w:rsid w:val="00805548"/>
    <w:rsid w:val="00805DD5"/>
    <w:rsid w:val="0081596C"/>
    <w:rsid w:val="00821300"/>
    <w:rsid w:val="0083447E"/>
    <w:rsid w:val="00844A32"/>
    <w:rsid w:val="00863C22"/>
    <w:rsid w:val="008A2CC0"/>
    <w:rsid w:val="008C3F6F"/>
    <w:rsid w:val="008C4B3C"/>
    <w:rsid w:val="00913B55"/>
    <w:rsid w:val="00953D56"/>
    <w:rsid w:val="00977787"/>
    <w:rsid w:val="00986081"/>
    <w:rsid w:val="009B6194"/>
    <w:rsid w:val="009D16A3"/>
    <w:rsid w:val="009F1DB4"/>
    <w:rsid w:val="00A40A9F"/>
    <w:rsid w:val="00A47D1F"/>
    <w:rsid w:val="00A55460"/>
    <w:rsid w:val="00A67862"/>
    <w:rsid w:val="00A74DEA"/>
    <w:rsid w:val="00A871A3"/>
    <w:rsid w:val="00A871CD"/>
    <w:rsid w:val="00A87DEE"/>
    <w:rsid w:val="00AC5FF4"/>
    <w:rsid w:val="00AD5158"/>
    <w:rsid w:val="00AE1844"/>
    <w:rsid w:val="00B2145C"/>
    <w:rsid w:val="00B22AAB"/>
    <w:rsid w:val="00B237A0"/>
    <w:rsid w:val="00B23A4F"/>
    <w:rsid w:val="00B27748"/>
    <w:rsid w:val="00B30B65"/>
    <w:rsid w:val="00B4068D"/>
    <w:rsid w:val="00B43B3B"/>
    <w:rsid w:val="00B5557C"/>
    <w:rsid w:val="00B80BB2"/>
    <w:rsid w:val="00B84141"/>
    <w:rsid w:val="00B95BE5"/>
    <w:rsid w:val="00BD1225"/>
    <w:rsid w:val="00BE3FF2"/>
    <w:rsid w:val="00BE502E"/>
    <w:rsid w:val="00C17C60"/>
    <w:rsid w:val="00C93910"/>
    <w:rsid w:val="00CB1941"/>
    <w:rsid w:val="00CF5343"/>
    <w:rsid w:val="00D15748"/>
    <w:rsid w:val="00D54948"/>
    <w:rsid w:val="00D6257C"/>
    <w:rsid w:val="00DB4A36"/>
    <w:rsid w:val="00DB6C6C"/>
    <w:rsid w:val="00DB7467"/>
    <w:rsid w:val="00DE160A"/>
    <w:rsid w:val="00DE71B3"/>
    <w:rsid w:val="00E0125D"/>
    <w:rsid w:val="00E14B63"/>
    <w:rsid w:val="00E33CFC"/>
    <w:rsid w:val="00E460B0"/>
    <w:rsid w:val="00E63A48"/>
    <w:rsid w:val="00E656DF"/>
    <w:rsid w:val="00E77527"/>
    <w:rsid w:val="00EA25DE"/>
    <w:rsid w:val="00EB43C8"/>
    <w:rsid w:val="00F05BB7"/>
    <w:rsid w:val="00F30832"/>
    <w:rsid w:val="00F45AAE"/>
    <w:rsid w:val="00F8325F"/>
    <w:rsid w:val="00FB4200"/>
    <w:rsid w:val="00FC6BB4"/>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563D1C"/>
  <w15:docId w15:val="{E7B62344-CEF5-4A4D-9E46-6214B26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72811"/>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272811"/>
    <w:pPr>
      <w:keepNext/>
      <w:jc w:val="center"/>
      <w:outlineLvl w:val="0"/>
    </w:pPr>
    <w:rPr>
      <w:sz w:val="28"/>
    </w:rPr>
  </w:style>
  <w:style w:type="paragraph" w:styleId="Virsraksts2">
    <w:name w:val="heading 2"/>
    <w:basedOn w:val="Parasts"/>
    <w:next w:val="Parasts"/>
    <w:link w:val="Virsraksts2Rakstz"/>
    <w:semiHidden/>
    <w:unhideWhenUsed/>
    <w:qFormat/>
    <w:rsid w:val="00272811"/>
    <w:pPr>
      <w:keepNext/>
      <w:jc w:val="both"/>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72811"/>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Parasts"/>
    <w:link w:val="Normal14ptChar"/>
    <w:rsid w:val="00272811"/>
    <w:pPr>
      <w:jc w:val="center"/>
    </w:pPr>
    <w:rPr>
      <w:rFonts w:asciiTheme="minorHAnsi" w:eastAsiaTheme="minorHAnsi" w:hAnsiTheme="minorHAnsi" w:cstheme="minorBidi"/>
      <w:b/>
      <w:sz w:val="28"/>
      <w:szCs w:val="28"/>
    </w:rPr>
  </w:style>
  <w:style w:type="character" w:styleId="Hipersaite">
    <w:name w:val="Hyperlink"/>
    <w:basedOn w:val="Noklusjumarindkopasfonts"/>
    <w:uiPriority w:val="99"/>
    <w:unhideWhenUsed/>
    <w:rsid w:val="0045036C"/>
    <w:rPr>
      <w:color w:val="0000FF" w:themeColor="hyperlink"/>
      <w:u w:val="single"/>
    </w:rPr>
  </w:style>
  <w:style w:type="paragraph" w:styleId="Sarakstarindkopa">
    <w:name w:val="List Paragraph"/>
    <w:basedOn w:val="Parasts"/>
    <w:uiPriority w:val="34"/>
    <w:qFormat/>
    <w:rsid w:val="00023654"/>
    <w:pPr>
      <w:ind w:left="720"/>
      <w:contextualSpacing/>
    </w:pPr>
  </w:style>
  <w:style w:type="character" w:styleId="Izteiksmgs">
    <w:name w:val="Strong"/>
    <w:basedOn w:val="Noklusjumarindkopasfonts"/>
    <w:uiPriority w:val="22"/>
    <w:qFormat/>
    <w:rsid w:val="000B0A3D"/>
    <w:rPr>
      <w:b/>
      <w:bCs/>
    </w:rPr>
  </w:style>
  <w:style w:type="table" w:styleId="Reatabula">
    <w:name w:val="Table Grid"/>
    <w:basedOn w:val="Parastatabula"/>
    <w:uiPriority w:val="59"/>
    <w:rsid w:val="006E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43B3B"/>
    <w:rPr>
      <w:color w:val="605E5C"/>
      <w:shd w:val="clear" w:color="auto" w:fill="E1DFDD"/>
    </w:rPr>
  </w:style>
  <w:style w:type="paragraph" w:styleId="Pamattekstsaratkpi">
    <w:name w:val="Body Text Indent"/>
    <w:basedOn w:val="Parasts"/>
    <w:link w:val="PamattekstsaratkpiRakstz"/>
    <w:rsid w:val="00094625"/>
    <w:pPr>
      <w:ind w:left="460" w:hanging="460"/>
      <w:jc w:val="both"/>
    </w:pPr>
    <w:rPr>
      <w:rFonts w:ascii="BiTLat Arial" w:hAnsi="BiTLat Arial"/>
      <w:sz w:val="20"/>
      <w:szCs w:val="20"/>
      <w:lang w:eastAsia="lv-LV"/>
    </w:rPr>
  </w:style>
  <w:style w:type="character" w:customStyle="1" w:styleId="PamattekstsaratkpiRakstz">
    <w:name w:val="Pamatteksts ar atkāpi Rakstz."/>
    <w:basedOn w:val="Noklusjumarindkopasfonts"/>
    <w:link w:val="Pamattekstsaratkpi"/>
    <w:rsid w:val="00094625"/>
    <w:rPr>
      <w:rFonts w:ascii="BiTLat Arial" w:eastAsia="Times New Roman" w:hAnsi="BiTLat Arial"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zi.lv/adazu-vest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4240</Words>
  <Characters>2418</Characters>
  <Application>Microsoft Office Word</Application>
  <DocSecurity>0</DocSecurity>
  <Lines>20</Lines>
  <Paragraphs>13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PROTOKOLS Nr.05-30-2017/127-1</vt:lpstr>
      <vt:lpstr>    Sēde sākās: </vt:lpstr>
      <vt:lpstr>    Komisijas priekšsēdētājs atklāj sēdi plkst. 10.00.</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26</cp:revision>
  <dcterms:created xsi:type="dcterms:W3CDTF">2018-04-03T12:32:00Z</dcterms:created>
  <dcterms:modified xsi:type="dcterms:W3CDTF">2018-07-26T06:03:00Z</dcterms:modified>
</cp:coreProperties>
</file>