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98332" w14:textId="77777777" w:rsidR="00464D6D" w:rsidRDefault="00464D6D" w:rsidP="00464D6D">
      <w:pPr>
        <w:spacing w:after="120"/>
        <w:jc w:val="center"/>
        <w:rPr>
          <w:b/>
          <w:bCs/>
          <w:sz w:val="22"/>
          <w:szCs w:val="22"/>
        </w:rPr>
      </w:pPr>
    </w:p>
    <w:p w14:paraId="3BAAFDFD" w14:textId="4E30D927" w:rsidR="00464D6D" w:rsidRDefault="00464D6D" w:rsidP="00464D6D">
      <w:pPr>
        <w:spacing w:after="120"/>
        <w:jc w:val="center"/>
        <w:rPr>
          <w:b/>
          <w:bCs/>
          <w:sz w:val="22"/>
          <w:szCs w:val="22"/>
        </w:rPr>
      </w:pPr>
      <w:r>
        <w:rPr>
          <w:b/>
          <w:bCs/>
          <w:sz w:val="22"/>
          <w:szCs w:val="22"/>
        </w:rPr>
        <w:t>L</w:t>
      </w:r>
      <w:r>
        <w:rPr>
          <w:rFonts w:ascii="TT7E6o00" w:hAnsi="TT7E6o00" w:cs="TT7E6o00"/>
          <w:b/>
          <w:bCs/>
          <w:sz w:val="22"/>
          <w:szCs w:val="22"/>
        </w:rPr>
        <w:t>Ī</w:t>
      </w:r>
      <w:r>
        <w:rPr>
          <w:b/>
          <w:bCs/>
          <w:sz w:val="22"/>
          <w:szCs w:val="22"/>
        </w:rPr>
        <w:t>GUMS PAR ELEKTROENER</w:t>
      </w:r>
      <w:r>
        <w:rPr>
          <w:rFonts w:ascii="TT7E6o00" w:hAnsi="TT7E6o00" w:cs="TT7E6o00"/>
          <w:b/>
          <w:bCs/>
          <w:sz w:val="22"/>
          <w:szCs w:val="22"/>
        </w:rPr>
        <w:t>Ģ</w:t>
      </w:r>
      <w:r>
        <w:rPr>
          <w:b/>
          <w:bCs/>
          <w:sz w:val="22"/>
          <w:szCs w:val="22"/>
        </w:rPr>
        <w:t>IJAS IEG</w:t>
      </w:r>
      <w:r>
        <w:rPr>
          <w:rFonts w:ascii="TT7E6o00" w:hAnsi="TT7E6o00" w:cs="TT7E6o00"/>
          <w:b/>
          <w:bCs/>
          <w:sz w:val="22"/>
          <w:szCs w:val="22"/>
        </w:rPr>
        <w:t>Ā</w:t>
      </w:r>
      <w:r>
        <w:rPr>
          <w:b/>
          <w:bCs/>
          <w:sz w:val="22"/>
          <w:szCs w:val="22"/>
        </w:rPr>
        <w:t xml:space="preserve">DI </w:t>
      </w:r>
      <w:r w:rsidR="000F0AC4">
        <w:rPr>
          <w:b/>
          <w:bCs/>
          <w:sz w:val="22"/>
          <w:szCs w:val="22"/>
        </w:rPr>
        <w:t xml:space="preserve">ĀDAŽU NOVADA PAŠVALDĪBAS OBJEKTIEM  </w:t>
      </w:r>
      <w:r>
        <w:rPr>
          <w:b/>
          <w:bCs/>
          <w:sz w:val="22"/>
          <w:szCs w:val="22"/>
        </w:rPr>
        <w:t>JUR 2018-</w:t>
      </w:r>
      <w:r w:rsidR="00183B09">
        <w:rPr>
          <w:b/>
          <w:bCs/>
          <w:sz w:val="22"/>
          <w:szCs w:val="22"/>
        </w:rPr>
        <w:t>07/</w:t>
      </w:r>
      <w:r w:rsidR="0005792D">
        <w:rPr>
          <w:b/>
          <w:bCs/>
          <w:sz w:val="22"/>
          <w:szCs w:val="22"/>
        </w:rPr>
        <w:t>533</w:t>
      </w:r>
    </w:p>
    <w:p w14:paraId="29DEB12C" w14:textId="77777777" w:rsidR="00464D6D" w:rsidRDefault="00464D6D" w:rsidP="00464D6D">
      <w:pPr>
        <w:spacing w:after="120"/>
        <w:rPr>
          <w:rFonts w:ascii="Arial" w:hAnsi="Arial" w:cs="Arial"/>
        </w:rPr>
      </w:pPr>
    </w:p>
    <w:p w14:paraId="5F3FABCA" w14:textId="18E93BD1" w:rsidR="00464D6D" w:rsidRDefault="00464D6D" w:rsidP="00464D6D">
      <w:pPr>
        <w:spacing w:after="120" w:line="276" w:lineRule="auto"/>
        <w:rPr>
          <w:b/>
          <w:bCs/>
        </w:rPr>
      </w:pPr>
      <w:r>
        <w:t xml:space="preserve">Ādaži,              </w:t>
      </w:r>
      <w:r>
        <w:tab/>
      </w:r>
      <w:r>
        <w:tab/>
      </w:r>
      <w:r>
        <w:tab/>
      </w:r>
      <w:r>
        <w:tab/>
      </w:r>
      <w:r>
        <w:tab/>
        <w:t xml:space="preserve">                2018.gada </w:t>
      </w:r>
      <w:r w:rsidR="0005792D">
        <w:t>26. jū</w:t>
      </w:r>
      <w:r w:rsidR="00FF28DB">
        <w:t>l</w:t>
      </w:r>
      <w:bookmarkStart w:id="0" w:name="_GoBack"/>
      <w:bookmarkEnd w:id="0"/>
      <w:r w:rsidR="0005792D">
        <w:t>ijā</w:t>
      </w:r>
    </w:p>
    <w:p w14:paraId="28AE572D" w14:textId="77777777" w:rsidR="00464D6D" w:rsidRPr="00EE70D3" w:rsidRDefault="00464D6D" w:rsidP="00464D6D">
      <w:pPr>
        <w:spacing w:after="120"/>
        <w:rPr>
          <w:sz w:val="16"/>
          <w:szCs w:val="16"/>
        </w:rPr>
      </w:pPr>
    </w:p>
    <w:p w14:paraId="43531750" w14:textId="77777777" w:rsidR="00464D6D" w:rsidRPr="00EE70D3" w:rsidRDefault="00464D6D" w:rsidP="00464D6D">
      <w:pPr>
        <w:pStyle w:val="BodyText"/>
        <w:spacing w:after="120"/>
        <w:rPr>
          <w:rFonts w:ascii="Times New Roman" w:hAnsi="Times New Roman"/>
          <w:b w:val="0"/>
        </w:rPr>
      </w:pPr>
      <w:r w:rsidRPr="000F0AC4">
        <w:rPr>
          <w:rFonts w:ascii="Times New Roman" w:hAnsi="Times New Roman"/>
        </w:rPr>
        <w:t>Ādažu novada dome</w:t>
      </w:r>
      <w:r w:rsidRPr="00EE70D3">
        <w:rPr>
          <w:rFonts w:ascii="Times New Roman" w:hAnsi="Times New Roman"/>
          <w:b w:val="0"/>
        </w:rPr>
        <w:t xml:space="preserve"> (turpmāk – Pasūtītājs), </w:t>
      </w:r>
      <w:r w:rsidRPr="00EE70D3">
        <w:rPr>
          <w:rFonts w:ascii="Times New Roman" w:hAnsi="Times New Roman"/>
          <w:b w:val="0"/>
          <w:iCs/>
        </w:rPr>
        <w:t>izpilddirektora Gunta Porieša personā, kurš rīkojas uz likuma „Par pašvaldībām” un Ādažu novada pašvaldības nolikuma pamata</w:t>
      </w:r>
      <w:r w:rsidRPr="00EE70D3">
        <w:rPr>
          <w:rFonts w:ascii="Times New Roman" w:hAnsi="Times New Roman"/>
          <w:b w:val="0"/>
        </w:rPr>
        <w:t>, no vienas puses, un</w:t>
      </w:r>
    </w:p>
    <w:p w14:paraId="65B23A37" w14:textId="68CC2D3D" w:rsidR="00464D6D" w:rsidRPr="006F451C" w:rsidRDefault="00183B09" w:rsidP="00464D6D">
      <w:pPr>
        <w:spacing w:after="120"/>
        <w:rPr>
          <w:color w:val="FF0000"/>
        </w:rPr>
      </w:pPr>
      <w:r w:rsidRPr="000F0AC4">
        <w:rPr>
          <w:b/>
          <w:bCs/>
        </w:rPr>
        <w:t>Akciju sabiedrība “Latvenergo</w:t>
      </w:r>
      <w:r>
        <w:rPr>
          <w:bCs/>
        </w:rPr>
        <w:t>”</w:t>
      </w:r>
      <w:r w:rsidR="00464D6D" w:rsidRPr="00EE70D3">
        <w:rPr>
          <w:bCs/>
        </w:rPr>
        <w:t xml:space="preserve"> (turpmāk – Piegādātājs), </w:t>
      </w:r>
      <w:r w:rsidR="000F0AC4">
        <w:rPr>
          <w:bCs/>
        </w:rPr>
        <w:t>pilnvaroto personu k</w:t>
      </w:r>
      <w:r w:rsidR="000F0AC4" w:rsidRPr="000F0AC4">
        <w:rPr>
          <w:bCs/>
        </w:rPr>
        <w:t>orporatīvo klientu attiecību vadītāj</w:t>
      </w:r>
      <w:r w:rsidR="000F0AC4">
        <w:rPr>
          <w:bCs/>
        </w:rPr>
        <w:t>a</w:t>
      </w:r>
      <w:r w:rsidR="000F0AC4" w:rsidRPr="000F0AC4">
        <w:rPr>
          <w:bCs/>
        </w:rPr>
        <w:t xml:space="preserve"> Di</w:t>
      </w:r>
      <w:r w:rsidR="000F0AC4">
        <w:rPr>
          <w:bCs/>
        </w:rPr>
        <w:t>dža</w:t>
      </w:r>
      <w:r w:rsidR="000F0AC4" w:rsidRPr="000F0AC4">
        <w:rPr>
          <w:bCs/>
        </w:rPr>
        <w:t xml:space="preserve"> Zālī</w:t>
      </w:r>
      <w:r w:rsidR="000F0AC4">
        <w:rPr>
          <w:bCs/>
        </w:rPr>
        <w:t xml:space="preserve">ša </w:t>
      </w:r>
      <w:r w:rsidR="000F0AC4" w:rsidRPr="000F0AC4">
        <w:rPr>
          <w:bCs/>
        </w:rPr>
        <w:t xml:space="preserve">un </w:t>
      </w:r>
      <w:r w:rsidR="000F0AC4">
        <w:rPr>
          <w:bCs/>
        </w:rPr>
        <w:t>k</w:t>
      </w:r>
      <w:r w:rsidR="000F0AC4" w:rsidRPr="000F0AC4">
        <w:rPr>
          <w:bCs/>
        </w:rPr>
        <w:t>orporatīvo klientu attiecību vadītāja</w:t>
      </w:r>
      <w:r w:rsidR="000F0AC4">
        <w:rPr>
          <w:bCs/>
        </w:rPr>
        <w:t>s</w:t>
      </w:r>
      <w:r w:rsidR="000F0AC4" w:rsidRPr="000F0AC4">
        <w:rPr>
          <w:bCs/>
        </w:rPr>
        <w:t xml:space="preserve"> Evija</w:t>
      </w:r>
      <w:r w:rsidR="000F0AC4">
        <w:rPr>
          <w:bCs/>
        </w:rPr>
        <w:t>s</w:t>
      </w:r>
      <w:r w:rsidR="000F0AC4" w:rsidRPr="000F0AC4">
        <w:rPr>
          <w:bCs/>
        </w:rPr>
        <w:t xml:space="preserve"> </w:t>
      </w:r>
      <w:proofErr w:type="spellStart"/>
      <w:r w:rsidR="000F0AC4" w:rsidRPr="000F0AC4">
        <w:rPr>
          <w:bCs/>
        </w:rPr>
        <w:t>Melkerte</w:t>
      </w:r>
      <w:r w:rsidR="000F0AC4">
        <w:rPr>
          <w:bCs/>
        </w:rPr>
        <w:t>s</w:t>
      </w:r>
      <w:proofErr w:type="spellEnd"/>
      <w:r w:rsidR="000F0AC4">
        <w:rPr>
          <w:bCs/>
        </w:rPr>
        <w:t xml:space="preserve"> personā, kuri darbojas </w:t>
      </w:r>
      <w:r w:rsidR="000F0AC4" w:rsidRPr="000F0AC4">
        <w:rPr>
          <w:bCs/>
        </w:rPr>
        <w:t xml:space="preserve">pamatojoties uz </w:t>
      </w:r>
      <w:r w:rsidR="00D72A54">
        <w:rPr>
          <w:bCs/>
        </w:rPr>
        <w:t xml:space="preserve">Piegādātāja </w:t>
      </w:r>
      <w:r w:rsidR="000F0AC4" w:rsidRPr="000F0AC4">
        <w:rPr>
          <w:bCs/>
        </w:rPr>
        <w:t xml:space="preserve">2017.gada 15.septembra izsniegtas pilnvaras Nr. 01VD00-05/164 pamata, </w:t>
      </w:r>
      <w:r w:rsidR="00464D6D" w:rsidRPr="000F0AC4">
        <w:t>no otras puses,</w:t>
      </w:r>
      <w:r w:rsidR="00464D6D" w:rsidRPr="000F0AC4">
        <w:rPr>
          <w:color w:val="FF0000"/>
        </w:rPr>
        <w:t xml:space="preserve"> </w:t>
      </w:r>
    </w:p>
    <w:p w14:paraId="01704E3D" w14:textId="7BF0769E" w:rsidR="00464D6D" w:rsidRPr="00EE70D3" w:rsidRDefault="00464D6D" w:rsidP="00464D6D">
      <w:pPr>
        <w:spacing w:after="120"/>
      </w:pPr>
      <w:r w:rsidRPr="00EE70D3">
        <w:t xml:space="preserve">abi kopā turpmāk saukti “Puses”, bet katrs atsevišķi “Puse”, pamatojoties uz Pasūtītāja rīkotā atklāta konkursa „Elektroenerģijas piegāde Ādažu pašvaldības objektiem” ((ID Nr. ĀND 2018/80) turpmāk – Iepirkums) rezultātiem un Iepirkumu komisijas 2018.gada </w:t>
      </w:r>
      <w:r w:rsidR="00367C93">
        <w:t>10.jūlija</w:t>
      </w:r>
      <w:r w:rsidRPr="00EE70D3">
        <w:t xml:space="preserve"> lēmumu (</w:t>
      </w:r>
      <w:smartTag w:uri="schemas-tilde-lv/tildestengine" w:element="veidnes">
        <w:smartTagPr>
          <w:attr w:name="text" w:val="protokols"/>
          <w:attr w:name="baseform" w:val="protokols"/>
          <w:attr w:name="id" w:val="-1"/>
        </w:smartTagPr>
        <w:r w:rsidRPr="00EE70D3">
          <w:t>protokols</w:t>
        </w:r>
      </w:smartTag>
      <w:r w:rsidRPr="00EE70D3">
        <w:t xml:space="preserve"> 05-30-2018/80-</w:t>
      </w:r>
      <w:r w:rsidR="00367C93">
        <w:t>4</w:t>
      </w:r>
      <w:r w:rsidRPr="00EE70D3">
        <w:t xml:space="preserve">), noslēdz šādu iepirkuma līgumu (turpmāk – </w:t>
      </w:r>
      <w:smartTag w:uri="schemas-tilde-lv/tildestengine" w:element="veidnes">
        <w:smartTagPr>
          <w:attr w:name="text" w:val="līgums"/>
          <w:attr w:name="baseform" w:val="līgums"/>
          <w:attr w:name="id" w:val="-1"/>
        </w:smartTagPr>
        <w:r w:rsidRPr="00EE70D3">
          <w:t>Līgums</w:t>
        </w:r>
      </w:smartTag>
      <w:r w:rsidRPr="00EE70D3">
        <w:t xml:space="preserve">): </w:t>
      </w:r>
    </w:p>
    <w:p w14:paraId="4C76301C" w14:textId="77777777" w:rsidR="00464D6D" w:rsidRPr="00EE70D3" w:rsidRDefault="00464D6D" w:rsidP="00464D6D">
      <w:pPr>
        <w:pStyle w:val="ListParagraph"/>
        <w:spacing w:after="120"/>
        <w:ind w:left="2880" w:firstLine="720"/>
        <w:rPr>
          <w:b/>
          <w:bCs/>
        </w:rPr>
      </w:pPr>
      <w:r w:rsidRPr="00EE70D3">
        <w:rPr>
          <w:b/>
          <w:bCs/>
          <w:iCs/>
        </w:rPr>
        <w:t>1. Līguma priekšmets</w:t>
      </w:r>
    </w:p>
    <w:p w14:paraId="6657E74F" w14:textId="53037618" w:rsidR="00C66D57" w:rsidRDefault="00464D6D" w:rsidP="00464D6D">
      <w:pPr>
        <w:pStyle w:val="ListParagraph"/>
        <w:spacing w:after="120"/>
        <w:ind w:left="600" w:hanging="600"/>
      </w:pPr>
      <w:r w:rsidRPr="00EE70D3">
        <w:t>1.1.</w:t>
      </w:r>
      <w:r w:rsidRPr="00EE70D3">
        <w:tab/>
        <w:t xml:space="preserve">Pasūtītājs uzdod un Piegādātājs apņemas veikt </w:t>
      </w:r>
      <w:r w:rsidRPr="00EE70D3">
        <w:rPr>
          <w:b/>
        </w:rPr>
        <w:t>elektroenerģijas piegādi Pasūtītāja elektroenerģiju patērējošo objektu vajadzībām</w:t>
      </w:r>
      <w:r w:rsidRPr="00EE70D3">
        <w:t xml:space="preserve"> saskaņā ar Piegādātāja tehnisko piedāvājumu Iepirkumā (pielikums Nr.1), Iepirkumā noteiktajām prasībām un Piegādātāja finanšu piedāvājumu (pielikums Nr.2). </w:t>
      </w:r>
    </w:p>
    <w:p w14:paraId="6D20739E" w14:textId="7B83107C" w:rsidR="00464D6D" w:rsidRPr="00EE70D3" w:rsidRDefault="00C66D57" w:rsidP="00464D6D">
      <w:pPr>
        <w:pStyle w:val="ListParagraph"/>
        <w:spacing w:after="120"/>
        <w:ind w:left="600" w:hanging="600"/>
      </w:pPr>
      <w:r>
        <w:t xml:space="preserve">1.2.  </w:t>
      </w:r>
      <w:r w:rsidR="00464D6D" w:rsidRPr="00EE70D3">
        <w:t>Līguma nosacījumi attiecas uz visiem Pasūtītāja patērētās elektroenerģijas uzskaites punktiem.</w:t>
      </w:r>
    </w:p>
    <w:p w14:paraId="11006AB7" w14:textId="46D669BC" w:rsidR="00464D6D" w:rsidRPr="00EE70D3" w:rsidRDefault="00464D6D" w:rsidP="00464D6D">
      <w:pPr>
        <w:pStyle w:val="ListParagraph"/>
        <w:spacing w:after="120"/>
        <w:ind w:left="600" w:hanging="600"/>
      </w:pPr>
      <w:r w:rsidRPr="00EE70D3">
        <w:t>1.</w:t>
      </w:r>
      <w:r w:rsidR="00C66D57">
        <w:t>3</w:t>
      </w:r>
      <w:r w:rsidRPr="00EE70D3">
        <w:t>.</w:t>
      </w:r>
      <w:r w:rsidRPr="00EE70D3">
        <w:tab/>
        <w:t xml:space="preserve">Līguma priekšmets neietver elektroenerģijas pārvadi un sadali.  </w:t>
      </w:r>
    </w:p>
    <w:p w14:paraId="580A9AC3" w14:textId="77777777" w:rsidR="00464D6D" w:rsidRPr="00EE70D3" w:rsidRDefault="00464D6D" w:rsidP="00464D6D">
      <w:pPr>
        <w:pStyle w:val="ListParagraph"/>
        <w:spacing w:after="120"/>
        <w:ind w:left="2880"/>
        <w:rPr>
          <w:iCs/>
        </w:rPr>
      </w:pPr>
      <w:r w:rsidRPr="00EE70D3">
        <w:rPr>
          <w:b/>
          <w:bCs/>
          <w:iCs/>
        </w:rPr>
        <w:t xml:space="preserve">              2. L</w:t>
      </w:r>
      <w:r w:rsidRPr="00EE70D3">
        <w:rPr>
          <w:iCs/>
        </w:rPr>
        <w:t>ī</w:t>
      </w:r>
      <w:r w:rsidRPr="00EE70D3">
        <w:rPr>
          <w:b/>
          <w:bCs/>
          <w:iCs/>
        </w:rPr>
        <w:t xml:space="preserve">guma termiņš </w:t>
      </w:r>
    </w:p>
    <w:p w14:paraId="29E01218" w14:textId="76956263" w:rsidR="00464D6D" w:rsidRPr="00367C93" w:rsidRDefault="00464D6D" w:rsidP="00464D6D">
      <w:pPr>
        <w:pStyle w:val="ListParagraph"/>
        <w:spacing w:after="120"/>
        <w:ind w:left="600" w:hanging="600"/>
        <w:rPr>
          <w:b/>
        </w:rPr>
      </w:pPr>
      <w:r w:rsidRPr="00EE70D3">
        <w:t>2.1.</w:t>
      </w:r>
      <w:r w:rsidRPr="00EE70D3">
        <w:tab/>
      </w:r>
      <w:smartTag w:uri="schemas-tilde-lv/tildestengine" w:element="veidnes">
        <w:smartTagPr>
          <w:attr w:name="text" w:val="līgums"/>
          <w:attr w:name="baseform" w:val="līgums"/>
          <w:attr w:name="id" w:val="-1"/>
        </w:smartTagPr>
        <w:r w:rsidRPr="00EE70D3">
          <w:t>Līgums</w:t>
        </w:r>
      </w:smartTag>
      <w:r w:rsidRPr="00EE70D3">
        <w:t xml:space="preserve"> stājas spēkā no tā abpusējas parakstīšanas dienas un ir spēkā līdz </w:t>
      </w:r>
      <w:r w:rsidR="00C66D57">
        <w:t xml:space="preserve">Pušu </w:t>
      </w:r>
      <w:r w:rsidRPr="00EE70D3">
        <w:t>saistību pilnīgai izpildei. Elektroenerģijas pārdošana tiek nodrošināta 12 mēnešus</w:t>
      </w:r>
      <w:r w:rsidRPr="00367C93">
        <w:rPr>
          <w:b/>
        </w:rPr>
        <w:t xml:space="preserve">, sākot ar 01.08.2018. </w:t>
      </w:r>
    </w:p>
    <w:p w14:paraId="1422E1BD" w14:textId="77777777" w:rsidR="00464D6D" w:rsidRPr="00EE70D3" w:rsidRDefault="00464D6D" w:rsidP="00464D6D">
      <w:pPr>
        <w:pStyle w:val="ListParagraph"/>
        <w:spacing w:after="120"/>
        <w:ind w:left="1440" w:firstLine="720"/>
        <w:rPr>
          <w:b/>
          <w:bCs/>
          <w:iCs/>
        </w:rPr>
      </w:pPr>
      <w:r w:rsidRPr="00EE70D3">
        <w:rPr>
          <w:b/>
          <w:bCs/>
          <w:iCs/>
        </w:rPr>
        <w:t xml:space="preserve">        3. Elektroenerģijas cena un norēķinu kārtība</w:t>
      </w:r>
    </w:p>
    <w:p w14:paraId="193AB9EC" w14:textId="77777777" w:rsidR="00464D6D" w:rsidRPr="00EE70D3" w:rsidRDefault="00464D6D" w:rsidP="00464D6D">
      <w:pPr>
        <w:pStyle w:val="ListParagraph"/>
        <w:spacing w:after="120"/>
        <w:ind w:left="600" w:hanging="600"/>
      </w:pPr>
      <w:r w:rsidRPr="00EE70D3">
        <w:t>3.1.</w:t>
      </w:r>
      <w:r w:rsidRPr="00EE70D3">
        <w:tab/>
        <w:t>Elektroenerģijas cena noteikta Līguma pielikumā Nr.2,  tā ir nemainīga visā Līguma izpildes laikā, un tajā ir iekļautas visas izmaksas, kas saistītas ar elektroenerģijas piegādi, tajā skaitā, balansēšanas pakalpojuma cena, rēķinu izrakstīšana, maksājumu iekasēšana, apstrāde un citas darbības, kas saistītas ar elektroenerģijas tirdzniecību, nodokļiem (izņemot pievienotās vērtības nodokli), nodevām, ja tādas ir paredzētas, izdevumiem, kas ir saistīti ar nepieciešamo atļauju iegūšanu no trešajām pusēm, kā arī visi iespējamie riski, kas saistīti ar tirgus cenu svārstībām Līguma izpildes laikā. Cena neietver obligātā iepirkuma komponentes un sistēmas pakalpojumu tarifus, ko Pasūtītājs apmaksā papildus saskaņā ar sistēmas pakalpojumu līguma un šī Līguma noteikumiem.</w:t>
      </w:r>
    </w:p>
    <w:p w14:paraId="7CFB574A" w14:textId="77777777" w:rsidR="00464D6D" w:rsidRPr="00EE70D3" w:rsidRDefault="00464D6D" w:rsidP="00464D6D">
      <w:pPr>
        <w:pStyle w:val="ListParagraph"/>
        <w:spacing w:after="120"/>
        <w:ind w:left="600" w:hanging="600"/>
      </w:pPr>
      <w:r w:rsidRPr="00EE70D3">
        <w:t>3.2.</w:t>
      </w:r>
      <w:r w:rsidRPr="00EE70D3">
        <w:tab/>
        <w:t xml:space="preserve">Norēķini notiek vienu reizi mēnesī par Pasūtītāja faktiski patērēto elektroenerģijas apjomu, atbilstoši komercuzskaites mēraparātu rādījumiem Pasūtītāja objektos. Rādījumi līdz katra mēneša 5. (piektajam) datumam tiek paziņoti a/s „Sadales tīkls” pa tālruni 80200408, vai uz e-pastu </w:t>
      </w:r>
      <w:hyperlink r:id="rId8" w:history="1">
        <w:r w:rsidRPr="00EE70D3">
          <w:rPr>
            <w:rStyle w:val="Hyperlink"/>
          </w:rPr>
          <w:t>st@sadalestikls.lv</w:t>
        </w:r>
      </w:hyperlink>
      <w:r w:rsidRPr="00EE70D3">
        <w:t xml:space="preserve">.  </w:t>
      </w:r>
    </w:p>
    <w:p w14:paraId="5150B9CD" w14:textId="77777777" w:rsidR="00464D6D" w:rsidRPr="00EE70D3" w:rsidRDefault="00464D6D" w:rsidP="00464D6D">
      <w:pPr>
        <w:pStyle w:val="ListParagraph"/>
        <w:spacing w:after="120"/>
        <w:ind w:left="600" w:hanging="600"/>
      </w:pPr>
      <w:r w:rsidRPr="00EE70D3">
        <w:lastRenderedPageBreak/>
        <w:t>3.3.</w:t>
      </w:r>
      <w:r w:rsidRPr="00EE70D3">
        <w:tab/>
        <w:t xml:space="preserve">Pēc komercuzskaites mēraparāta rādījumu saņemšanas Piegādātājs izraksta un līdz kārtējā mēneša 10. (desmitajam) datumam nosūta Pasūtītājam rēķinu par iepriekšējā mēnesī patērēto elektroenerģiju. Maksu par sistēmas operatora pakalpojumiem un obligātā iepirkuma komponentēm Piegādātājs iekļauj Pasūtītājam iesniedzamajos rēķinos un samaksu par šiem pakalpojumiem un obligātā iepirkuma komponentēm Pasūtītājs veic Piegādātājam vienlaicīgi ar elektroenerģijas apmaksu, pamatojoties uz Piegādātāja rēķiniem.   </w:t>
      </w:r>
    </w:p>
    <w:p w14:paraId="20F4DA7F" w14:textId="3D6BFF66" w:rsidR="00464D6D" w:rsidRPr="00EE70D3" w:rsidRDefault="00464D6D" w:rsidP="00464D6D">
      <w:pPr>
        <w:pStyle w:val="ListParagraph"/>
        <w:spacing w:after="120"/>
        <w:ind w:left="600" w:hanging="600"/>
      </w:pPr>
      <w:r w:rsidRPr="00EE70D3">
        <w:t>3.4.</w:t>
      </w:r>
      <w:r w:rsidRPr="00EE70D3">
        <w:tab/>
        <w:t xml:space="preserve"> Rēķina saņemšanas veids ir pa e-pastu, </w:t>
      </w:r>
      <w:r w:rsidRPr="00AA5143">
        <w:t xml:space="preserve">no Piegādātāja e-pasta </w:t>
      </w:r>
      <w:hyperlink r:id="rId9" w:history="1">
        <w:r w:rsidR="00AA5143" w:rsidRPr="00D84199">
          <w:rPr>
            <w:rStyle w:val="Hyperlink"/>
            <w:lang w:eastAsia="en-US"/>
          </w:rPr>
          <w:t>rekins@elektrum.lv</w:t>
        </w:r>
      </w:hyperlink>
      <w:r w:rsidR="00AA5143">
        <w:rPr>
          <w:color w:val="000000"/>
          <w:lang w:eastAsia="en-US"/>
        </w:rPr>
        <w:t xml:space="preserve">         </w:t>
      </w:r>
      <w:r w:rsidRPr="00AA5143">
        <w:t xml:space="preserve"> uz</w:t>
      </w:r>
      <w:r w:rsidRPr="00EE70D3">
        <w:t xml:space="preserve"> Pasūtītāja e-pastu </w:t>
      </w:r>
      <w:hyperlink r:id="rId10" w:history="1">
        <w:r w:rsidRPr="00EE70D3">
          <w:rPr>
            <w:rStyle w:val="Hyperlink"/>
          </w:rPr>
          <w:t>dome@adazi.lv</w:t>
        </w:r>
      </w:hyperlink>
      <w:r w:rsidRPr="00EE70D3">
        <w:t>. Rēķins tiks uzskatīts par saņemtu nākamajā darba dienā pēc tā nosūtīšanas uz šajā punktā norādīto e-pastu.</w:t>
      </w:r>
    </w:p>
    <w:p w14:paraId="6C6EF8A0" w14:textId="1552CA87" w:rsidR="00464D6D" w:rsidRPr="00EE70D3" w:rsidRDefault="00464D6D" w:rsidP="00464D6D">
      <w:pPr>
        <w:numPr>
          <w:ilvl w:val="1"/>
          <w:numId w:val="1"/>
        </w:numPr>
        <w:tabs>
          <w:tab w:val="left" w:pos="-1560"/>
        </w:tabs>
        <w:suppressAutoHyphens w:val="0"/>
        <w:autoSpaceDN w:val="0"/>
        <w:ind w:left="567" w:hanging="567"/>
      </w:pPr>
      <w:r w:rsidRPr="00EE70D3">
        <w:t>Ja Pasūtītājs nav saņēmis Piegādātāja rēķinu līdz kārtējā mēneša 10. (desmitajam) datumam, Pasūtītājs par to nekavējoties paziņo Piegādātājam uz 3.4. punktā norādīto e</w:t>
      </w:r>
      <w:r w:rsidR="00DD06E2">
        <w:t>-</w:t>
      </w:r>
      <w:r w:rsidRPr="00EE70D3">
        <w:t>pastu. Ja Piegādātājs nesaņem  paziņojumu līdz 13. (trīspadsmitajam) datumam, uzskatāms, ka Pasūtītājs ir saņēmis rēķinu Līgumā noteiktajā termiņā.</w:t>
      </w:r>
    </w:p>
    <w:p w14:paraId="7844FEB1" w14:textId="77777777" w:rsidR="00464D6D" w:rsidRPr="00EE70D3" w:rsidRDefault="00464D6D" w:rsidP="00464D6D">
      <w:pPr>
        <w:widowControl w:val="0"/>
        <w:numPr>
          <w:ilvl w:val="1"/>
          <w:numId w:val="1"/>
        </w:numPr>
        <w:suppressAutoHyphens w:val="0"/>
        <w:overflowPunct w:val="0"/>
        <w:autoSpaceDE w:val="0"/>
        <w:autoSpaceDN w:val="0"/>
        <w:adjustRightInd w:val="0"/>
        <w:spacing w:before="120"/>
        <w:ind w:left="567" w:hanging="567"/>
        <w:rPr>
          <w:noProof/>
          <w:snapToGrid w:val="0"/>
          <w:lang w:eastAsia="et-EE"/>
        </w:rPr>
      </w:pPr>
      <w:r w:rsidRPr="00EE70D3">
        <w:rPr>
          <w:noProof/>
          <w:snapToGrid w:val="0"/>
          <w:lang w:eastAsia="et-EE"/>
        </w:rPr>
        <w:t xml:space="preserve">Pasūtītājs norēķinās par elektroenerģiju saskaņā ar Piegādātāja izrakstītu rēķinu vienu reizi mēnesī, 15 darba dienu laikā no rēķina saņemšanas, pārskaitot rēķinā norādīto summu un Piegādātāja norādīto bankas kontu. Ja termiņš iekrīt brīvdienā, tad pēdējā samaksas diena ir nākamā darba diena.  </w:t>
      </w:r>
    </w:p>
    <w:p w14:paraId="09EBD426" w14:textId="2643B6FE" w:rsidR="00464D6D" w:rsidRPr="00EE70D3" w:rsidRDefault="00464D6D" w:rsidP="00464D6D">
      <w:pPr>
        <w:numPr>
          <w:ilvl w:val="1"/>
          <w:numId w:val="1"/>
        </w:numPr>
        <w:suppressAutoHyphens w:val="0"/>
        <w:autoSpaceDN w:val="0"/>
        <w:snapToGrid w:val="0"/>
        <w:spacing w:before="120"/>
        <w:ind w:left="567" w:hanging="567"/>
        <w:rPr>
          <w:noProof/>
          <w:snapToGrid w:val="0"/>
          <w:lang w:eastAsia="et-EE"/>
        </w:rPr>
      </w:pPr>
      <w:r w:rsidRPr="00EE70D3">
        <w:t>Ja Pasūtītājs nepiekrīt Piegādātāja iesniegtajam rēķinam, Pasūtītājs</w:t>
      </w:r>
      <w:r w:rsidR="000E75B8">
        <w:t xml:space="preserve"> iesniedz </w:t>
      </w:r>
      <w:r w:rsidRPr="00EE70D3">
        <w:t xml:space="preserve"> </w:t>
      </w:r>
      <w:r w:rsidR="000E75B8">
        <w:t xml:space="preserve">Piegādātājam </w:t>
      </w:r>
      <w:r w:rsidRPr="00EE70D3">
        <w:t>rakstveid</w:t>
      </w:r>
      <w:r w:rsidR="000E75B8">
        <w:t>a</w:t>
      </w:r>
      <w:r w:rsidRPr="00EE70D3">
        <w:t xml:space="preserve"> </w:t>
      </w:r>
      <w:r w:rsidR="000E75B8">
        <w:t>paziņojumu</w:t>
      </w:r>
      <w:r w:rsidRPr="00EE70D3">
        <w:t xml:space="preserve"> ne vēlāk kā piecu darba dienu laikā no rēķina saņemšanas brīža, norādot nepiekrišanas iemeslus. Paziņojuma iesniegšana neatbrīvo Pasūtītājs no rēķina savlaicīgas apmaksas pienākuma. Piegādātājs </w:t>
      </w:r>
      <w:r w:rsidR="00A910CD" w:rsidRPr="00EE70D3">
        <w:t xml:space="preserve">izskata paziņojuma </w:t>
      </w:r>
      <w:r w:rsidRPr="00EE70D3">
        <w:t xml:space="preserve">10 (desmit) dienu laikā no </w:t>
      </w:r>
      <w:r w:rsidR="00A910CD">
        <w:t xml:space="preserve">tā </w:t>
      </w:r>
      <w:r w:rsidRPr="00EE70D3">
        <w:t xml:space="preserve">saņemšanas, veic rēķinā norādītās maksājuma summas atbilstības pārbaudi Pasūtītāja patērētajai elektroenerģijai </w:t>
      </w:r>
      <w:r w:rsidR="00A910CD" w:rsidRPr="00EE70D3">
        <w:t xml:space="preserve">attiecīgajā norēķinu periodā </w:t>
      </w:r>
      <w:r w:rsidRPr="00AE3282">
        <w:t>un informē Pasūtītāju par pārbaudes rezultātiem. Ja pārbaudes</w:t>
      </w:r>
      <w:r w:rsidRPr="00EE70D3">
        <w:t xml:space="preserve"> rezultātā </w:t>
      </w:r>
      <w:r w:rsidR="00C91A36">
        <w:t xml:space="preserve">tiek </w:t>
      </w:r>
      <w:r w:rsidRPr="00EE70D3">
        <w:t xml:space="preserve">konstatēts, ka rēķinā norādītā summa ir samazināma, un Pasūtītājs to jau ir samaksājis, Pasūtītāja pārmaksātā summa ieskaita veidā tiek ieskaitīta nākamo </w:t>
      </w:r>
      <w:r w:rsidR="00C91A36">
        <w:t>maksājumu</w:t>
      </w:r>
      <w:r w:rsidR="00C91A36" w:rsidRPr="00EE70D3">
        <w:t xml:space="preserve"> </w:t>
      </w:r>
      <w:r w:rsidRPr="00EE70D3">
        <w:t xml:space="preserve">Pasūtītāja veicamo maksājumu izpildē, bez </w:t>
      </w:r>
      <w:r w:rsidR="0086247C" w:rsidRPr="00EE70D3">
        <w:t xml:space="preserve">Pasūtītāja </w:t>
      </w:r>
      <w:r w:rsidRPr="00EE70D3">
        <w:t>atsevišķa paziņojuma.</w:t>
      </w:r>
    </w:p>
    <w:p w14:paraId="3736756B" w14:textId="0ECFF0D0" w:rsidR="00464D6D" w:rsidRPr="00EE70D3" w:rsidRDefault="00464D6D" w:rsidP="00464D6D">
      <w:pPr>
        <w:widowControl w:val="0"/>
        <w:numPr>
          <w:ilvl w:val="1"/>
          <w:numId w:val="1"/>
        </w:numPr>
        <w:suppressAutoHyphens w:val="0"/>
        <w:autoSpaceDE w:val="0"/>
        <w:autoSpaceDN w:val="0"/>
        <w:adjustRightInd w:val="0"/>
        <w:spacing w:before="120"/>
        <w:ind w:left="600" w:hanging="600"/>
      </w:pPr>
      <w:r w:rsidRPr="00EE70D3">
        <w:t>Ja Piegādātājs 5 darba dienu laikā no rēķina saņemšanas dienas nav saņēmis Pasūtītāja paziņojumu, uzskatāms, ka viņam nav pretenziju.</w:t>
      </w:r>
    </w:p>
    <w:p w14:paraId="3F436BE1" w14:textId="3440B0A6" w:rsidR="00464D6D" w:rsidRPr="00EE70D3" w:rsidRDefault="00464D6D" w:rsidP="00464D6D">
      <w:pPr>
        <w:widowControl w:val="0"/>
        <w:numPr>
          <w:ilvl w:val="1"/>
          <w:numId w:val="1"/>
        </w:numPr>
        <w:suppressAutoHyphens w:val="0"/>
        <w:autoSpaceDE w:val="0"/>
        <w:autoSpaceDN w:val="0"/>
        <w:adjustRightInd w:val="0"/>
        <w:spacing w:before="120" w:after="120"/>
        <w:ind w:left="601" w:hanging="601"/>
      </w:pPr>
      <w:r w:rsidRPr="00EE70D3">
        <w:rPr>
          <w:iCs/>
          <w:color w:val="000000"/>
        </w:rPr>
        <w:t xml:space="preserve">Pasūtītājs deleģē Piegādātājam pienākumu Pasūtītāja vārdā norēķināties ar sistēmas operatoru par tā sniegtajiem sistēmas pakalpojumiem, palīgpakalpojumiem un obligātā iepirkuma komponentēm. </w:t>
      </w:r>
      <w:r w:rsidR="0086247C">
        <w:rPr>
          <w:iCs/>
          <w:color w:val="000000"/>
        </w:rPr>
        <w:t>M</w:t>
      </w:r>
      <w:r w:rsidRPr="00EE70D3">
        <w:rPr>
          <w:iCs/>
          <w:color w:val="000000"/>
        </w:rPr>
        <w:t xml:space="preserve">aksu par </w:t>
      </w:r>
      <w:r w:rsidR="0086247C">
        <w:rPr>
          <w:iCs/>
          <w:color w:val="000000"/>
        </w:rPr>
        <w:t>to</w:t>
      </w:r>
      <w:r w:rsidRPr="00EE70D3">
        <w:rPr>
          <w:iCs/>
          <w:color w:val="000000"/>
        </w:rPr>
        <w:t xml:space="preserve"> Piegādātājs ietver Pasūtītājam izrakstītajā rēķinā par elektroenerģiju, un Pasūtītājs to apmaksā vienlaicīgi ar maksu par elektroenerģiju. </w:t>
      </w:r>
    </w:p>
    <w:p w14:paraId="188E60B2" w14:textId="77777777" w:rsidR="00464D6D" w:rsidRPr="00EE70D3" w:rsidRDefault="00464D6D" w:rsidP="00464D6D">
      <w:pPr>
        <w:widowControl w:val="0"/>
        <w:numPr>
          <w:ilvl w:val="0"/>
          <w:numId w:val="1"/>
        </w:numPr>
        <w:suppressAutoHyphens w:val="0"/>
        <w:autoSpaceDE w:val="0"/>
        <w:autoSpaceDN w:val="0"/>
        <w:adjustRightInd w:val="0"/>
        <w:spacing w:before="120" w:after="120"/>
        <w:jc w:val="center"/>
        <w:rPr>
          <w:b/>
        </w:rPr>
      </w:pPr>
      <w:r w:rsidRPr="00EE70D3">
        <w:rPr>
          <w:b/>
        </w:rPr>
        <w:t>Elektroenerģijas uzskaite</w:t>
      </w:r>
    </w:p>
    <w:p w14:paraId="29204ADB" w14:textId="30C59D1C" w:rsidR="00464D6D" w:rsidRPr="00EE70D3" w:rsidRDefault="00464D6D" w:rsidP="00464D6D">
      <w:pPr>
        <w:widowControl w:val="0"/>
        <w:numPr>
          <w:ilvl w:val="1"/>
          <w:numId w:val="2"/>
        </w:numPr>
        <w:suppressAutoHyphens w:val="0"/>
        <w:autoSpaceDE w:val="0"/>
        <w:autoSpaceDN w:val="0"/>
        <w:adjustRightInd w:val="0"/>
        <w:spacing w:before="120" w:after="120"/>
        <w:ind w:left="567" w:hanging="567"/>
      </w:pPr>
      <w:r w:rsidRPr="00EE70D3">
        <w:t xml:space="preserve">Pasūtītāja patērētās elektroenerģijas un jaudas uzskaiti </w:t>
      </w:r>
      <w:r w:rsidR="004037D4" w:rsidRPr="00EE70D3">
        <w:t>veic elektroenerģijas sistēmas operators, pie kura tīkla Pasūtītājs ir pieslēgts</w:t>
      </w:r>
      <w:r w:rsidR="004037D4">
        <w:t>,</w:t>
      </w:r>
      <w:r w:rsidR="004037D4" w:rsidRPr="00EE70D3">
        <w:t xml:space="preserve"> </w:t>
      </w:r>
      <w:r w:rsidRPr="00EE70D3">
        <w:t xml:space="preserve">atbilstoši uzskaites vietās uzstādītās uzskaites sistēmas rādījumiem. </w:t>
      </w:r>
    </w:p>
    <w:p w14:paraId="56E48441" w14:textId="46637BF3" w:rsidR="00464D6D" w:rsidRPr="00EE70D3" w:rsidRDefault="00464D6D" w:rsidP="00464D6D">
      <w:pPr>
        <w:widowControl w:val="0"/>
        <w:numPr>
          <w:ilvl w:val="1"/>
          <w:numId w:val="2"/>
        </w:numPr>
        <w:suppressAutoHyphens w:val="0"/>
        <w:autoSpaceDE w:val="0"/>
        <w:autoSpaceDN w:val="0"/>
        <w:adjustRightInd w:val="0"/>
        <w:spacing w:before="120" w:after="120"/>
        <w:ind w:left="567" w:hanging="567"/>
      </w:pPr>
      <w:r w:rsidRPr="00EE70D3">
        <w:t xml:space="preserve">Pusēm ir saistoši elektroenerģijas sistēmas operatora sagatavotie ziņojumi, kuros norādīti uzskaites sistēmas rādījumi un citi ar </w:t>
      </w:r>
      <w:r w:rsidR="004037D4">
        <w:t>to</w:t>
      </w:r>
      <w:r w:rsidRPr="00EE70D3">
        <w:t xml:space="preserve"> saistītie dati, un Piegādātājs šo informāciju un datus izmantos</w:t>
      </w:r>
      <w:r w:rsidR="00656DFF">
        <w:t>,</w:t>
      </w:r>
      <w:r w:rsidRPr="00EE70D3">
        <w:t xml:space="preserve"> izrakstot </w:t>
      </w:r>
      <w:r w:rsidR="00656DFF" w:rsidRPr="00EE70D3">
        <w:t xml:space="preserve">attiecīgu rēķinu </w:t>
      </w:r>
      <w:r w:rsidRPr="00EE70D3">
        <w:t xml:space="preserve">Pasūtītājam. </w:t>
      </w:r>
    </w:p>
    <w:p w14:paraId="17B2A382" w14:textId="77777777" w:rsidR="00464D6D" w:rsidRPr="00EE70D3" w:rsidRDefault="00464D6D" w:rsidP="00464D6D">
      <w:pPr>
        <w:widowControl w:val="0"/>
        <w:numPr>
          <w:ilvl w:val="1"/>
          <w:numId w:val="2"/>
        </w:numPr>
        <w:suppressAutoHyphens w:val="0"/>
        <w:autoSpaceDE w:val="0"/>
        <w:autoSpaceDN w:val="0"/>
        <w:adjustRightInd w:val="0"/>
        <w:spacing w:before="120" w:after="120"/>
        <w:ind w:left="567" w:hanging="567"/>
      </w:pPr>
      <w:r w:rsidRPr="00EE70D3">
        <w:t xml:space="preserve">Pasūtītājs apņemas ievērot Latvijas Republikas normatīvajos aktos noteiktās prasības attiecībā uz mēraparātu verificēšanu un atbilstības novērtēšanu, kā arī mēraparātu plombu uzstādīšanu un saglabāšanu. </w:t>
      </w:r>
    </w:p>
    <w:p w14:paraId="3B37694D" w14:textId="77777777" w:rsidR="00464D6D" w:rsidRPr="00EE70D3" w:rsidRDefault="00464D6D" w:rsidP="00464D6D">
      <w:pPr>
        <w:widowControl w:val="0"/>
        <w:numPr>
          <w:ilvl w:val="0"/>
          <w:numId w:val="2"/>
        </w:numPr>
        <w:suppressAutoHyphens w:val="0"/>
        <w:autoSpaceDE w:val="0"/>
        <w:autoSpaceDN w:val="0"/>
        <w:adjustRightInd w:val="0"/>
        <w:spacing w:before="120" w:after="120"/>
        <w:jc w:val="center"/>
        <w:rPr>
          <w:b/>
        </w:rPr>
      </w:pPr>
      <w:r w:rsidRPr="00EE70D3">
        <w:rPr>
          <w:b/>
          <w:bCs/>
          <w:iCs/>
        </w:rPr>
        <w:lastRenderedPageBreak/>
        <w:t>Pušu savstarpējās saist</w:t>
      </w:r>
      <w:r w:rsidRPr="00EE70D3">
        <w:rPr>
          <w:b/>
          <w:iCs/>
        </w:rPr>
        <w:t>ī</w:t>
      </w:r>
      <w:r w:rsidRPr="00EE70D3">
        <w:rPr>
          <w:b/>
          <w:bCs/>
          <w:iCs/>
        </w:rPr>
        <w:t>bas un atbild</w:t>
      </w:r>
      <w:r w:rsidRPr="00EE70D3">
        <w:rPr>
          <w:b/>
          <w:iCs/>
        </w:rPr>
        <w:t>ī</w:t>
      </w:r>
      <w:r w:rsidRPr="00EE70D3">
        <w:rPr>
          <w:b/>
          <w:bCs/>
          <w:iCs/>
        </w:rPr>
        <w:t>ba</w:t>
      </w:r>
    </w:p>
    <w:p w14:paraId="57CF75DB" w14:textId="46F6B7B3" w:rsidR="00464D6D" w:rsidRPr="00EE70D3" w:rsidRDefault="00464D6D" w:rsidP="00464D6D">
      <w:pPr>
        <w:widowControl w:val="0"/>
        <w:numPr>
          <w:ilvl w:val="1"/>
          <w:numId w:val="2"/>
        </w:numPr>
        <w:suppressAutoHyphens w:val="0"/>
        <w:autoSpaceDE w:val="0"/>
        <w:autoSpaceDN w:val="0"/>
        <w:adjustRightInd w:val="0"/>
        <w:spacing w:before="120" w:after="120"/>
        <w:ind w:left="567" w:hanging="567"/>
      </w:pPr>
      <w:r w:rsidRPr="00EE70D3">
        <w:t xml:space="preserve">Puses apņemas ievērot Elektroenerģijas tirgus likuma, Enerģētikas likuma, Ministru kabineta 2014.gada 21.janvāra noteikumu Nr.50 „Elektroenerģijas tirdzniecības un lietošanas noteikumi” </w:t>
      </w:r>
      <w:r w:rsidR="00367C93">
        <w:t xml:space="preserve">(turpmāk – MK noteikumi Nr.50) </w:t>
      </w:r>
      <w:r w:rsidRPr="00EE70D3">
        <w:t>un citu Latvijas Republikā spēkā esošo normatīvo aktu prasības.</w:t>
      </w:r>
    </w:p>
    <w:p w14:paraId="4CE925F4" w14:textId="77777777" w:rsidR="00464D6D" w:rsidRPr="00EE70D3" w:rsidRDefault="00464D6D" w:rsidP="00464D6D">
      <w:pPr>
        <w:widowControl w:val="0"/>
        <w:numPr>
          <w:ilvl w:val="1"/>
          <w:numId w:val="2"/>
        </w:numPr>
        <w:suppressAutoHyphens w:val="0"/>
        <w:autoSpaceDE w:val="0"/>
        <w:autoSpaceDN w:val="0"/>
        <w:adjustRightInd w:val="0"/>
        <w:spacing w:before="120"/>
        <w:ind w:left="567" w:hanging="567"/>
      </w:pPr>
      <w:r w:rsidRPr="00EE70D3">
        <w:rPr>
          <w:iCs/>
        </w:rPr>
        <w:t>Pasūtītāja pienākumi un tiesības:</w:t>
      </w:r>
    </w:p>
    <w:p w14:paraId="2761E1DA" w14:textId="77777777" w:rsidR="00464D6D" w:rsidRPr="00EE70D3" w:rsidRDefault="00464D6D" w:rsidP="00464D6D">
      <w:pPr>
        <w:widowControl w:val="0"/>
        <w:numPr>
          <w:ilvl w:val="2"/>
          <w:numId w:val="2"/>
        </w:numPr>
        <w:suppressAutoHyphens w:val="0"/>
        <w:autoSpaceDE w:val="0"/>
        <w:autoSpaceDN w:val="0"/>
        <w:adjustRightInd w:val="0"/>
        <w:ind w:left="1276" w:hanging="709"/>
      </w:pPr>
      <w:r w:rsidRPr="00EE70D3">
        <w:t>sniegt Piegādātājam visu informāciju, kas nepieciešams pilnvērtīgai Līguma izpildei, tostarp, bet ne tikai, informāciju par Pasūtītājam piederošajiem objektiem, kuriem tiek piegādāta elektroenerģija;</w:t>
      </w:r>
    </w:p>
    <w:p w14:paraId="7122245C" w14:textId="77777777" w:rsidR="00464D6D" w:rsidRPr="00EE70D3" w:rsidRDefault="00464D6D" w:rsidP="00464D6D">
      <w:pPr>
        <w:widowControl w:val="0"/>
        <w:numPr>
          <w:ilvl w:val="2"/>
          <w:numId w:val="2"/>
        </w:numPr>
        <w:suppressAutoHyphens w:val="0"/>
        <w:autoSpaceDE w:val="0"/>
        <w:autoSpaceDN w:val="0"/>
        <w:adjustRightInd w:val="0"/>
        <w:ind w:left="1276" w:hanging="709"/>
      </w:pPr>
      <w:r w:rsidRPr="00EE70D3">
        <w:t>nekavējoties informēt Piegādātāju, ja līdz kārtējā mēneša 10. datumam nav saņemts rēķins par iepriekšējā mēnesī patērēto elektroenerģiju;</w:t>
      </w:r>
    </w:p>
    <w:p w14:paraId="45D9D828" w14:textId="77777777" w:rsidR="00464D6D" w:rsidRPr="00EE70D3" w:rsidRDefault="00464D6D" w:rsidP="00464D6D">
      <w:pPr>
        <w:widowControl w:val="0"/>
        <w:numPr>
          <w:ilvl w:val="2"/>
          <w:numId w:val="2"/>
        </w:numPr>
        <w:suppressAutoHyphens w:val="0"/>
        <w:autoSpaceDE w:val="0"/>
        <w:autoSpaceDN w:val="0"/>
        <w:adjustRightInd w:val="0"/>
        <w:ind w:left="1276" w:hanging="709"/>
      </w:pPr>
      <w:r w:rsidRPr="00EE70D3">
        <w:t>noslēgt līgumu ar elektroenerģijas sistēmas operatoru par sistēmas pakalpojumiem visām Pasūtītāja elektroietaisēm;</w:t>
      </w:r>
    </w:p>
    <w:p w14:paraId="51463E63" w14:textId="77777777" w:rsidR="00464D6D" w:rsidRPr="00EE70D3" w:rsidRDefault="00464D6D" w:rsidP="00464D6D">
      <w:pPr>
        <w:widowControl w:val="0"/>
        <w:numPr>
          <w:ilvl w:val="2"/>
          <w:numId w:val="2"/>
        </w:numPr>
        <w:suppressAutoHyphens w:val="0"/>
        <w:autoSpaceDE w:val="0"/>
        <w:autoSpaceDN w:val="0"/>
        <w:adjustRightInd w:val="0"/>
        <w:ind w:left="1276" w:hanging="709"/>
      </w:pPr>
      <w:r w:rsidRPr="00EE70D3">
        <w:t xml:space="preserve">norēķināties ar Piegādātāju saskaņā ar Līguma noteikumiem; </w:t>
      </w:r>
    </w:p>
    <w:p w14:paraId="0ED43D3A" w14:textId="77777777" w:rsidR="00464D6D" w:rsidRPr="00EE70D3" w:rsidRDefault="00464D6D" w:rsidP="00464D6D">
      <w:pPr>
        <w:widowControl w:val="0"/>
        <w:numPr>
          <w:ilvl w:val="2"/>
          <w:numId w:val="2"/>
        </w:numPr>
        <w:suppressAutoHyphens w:val="0"/>
        <w:autoSpaceDE w:val="0"/>
        <w:autoSpaceDN w:val="0"/>
        <w:adjustRightInd w:val="0"/>
        <w:ind w:left="1276" w:hanging="709"/>
      </w:pPr>
      <w:r w:rsidRPr="00EE70D3">
        <w:t xml:space="preserve">10 (desmit) dienu laikā rakstveidā informēt Piegādātāju par Pasūtītāja juridiskā statusa, nosaukuma, adreses, u.c. rekvizītu maiņu, kā arī īpašuma vai lietošanas tiesību izmaiņām objektiem, kuriem tiek piegādāta elektroenerģija. Šāds </w:t>
      </w:r>
      <w:smartTag w:uri="schemas-tilde-lv/tildestengine" w:element="veidnes">
        <w:smartTagPr>
          <w:attr w:name="text" w:val="paziņojums"/>
          <w:attr w:name="baseform" w:val="paziņojums"/>
          <w:attr w:name="id" w:val="-1"/>
        </w:smartTagPr>
        <w:r w:rsidRPr="00EE70D3">
          <w:t>paziņojums</w:t>
        </w:r>
      </w:smartTag>
      <w:r w:rsidRPr="00EE70D3">
        <w:t xml:space="preserve"> pēc Piegādātāja akcepta kļūst par Līguma neatņemamu sastāvdaļu;</w:t>
      </w:r>
    </w:p>
    <w:p w14:paraId="7F3D84B3" w14:textId="77777777" w:rsidR="00464D6D" w:rsidRPr="00EE70D3" w:rsidRDefault="00464D6D" w:rsidP="00464D6D">
      <w:pPr>
        <w:widowControl w:val="0"/>
        <w:numPr>
          <w:ilvl w:val="2"/>
          <w:numId w:val="2"/>
        </w:numPr>
        <w:suppressAutoHyphens w:val="0"/>
        <w:autoSpaceDE w:val="0"/>
        <w:autoSpaceDN w:val="0"/>
        <w:adjustRightInd w:val="0"/>
        <w:ind w:left="1276" w:hanging="709"/>
      </w:pPr>
      <w:r w:rsidRPr="00EE70D3">
        <w:t>saņemt balansēšanas pakalpojumu normatīvajos aktos noteiktajā kārtībā;</w:t>
      </w:r>
    </w:p>
    <w:p w14:paraId="7618D4CA" w14:textId="77777777" w:rsidR="00464D6D" w:rsidRPr="00EE70D3" w:rsidRDefault="00464D6D" w:rsidP="00464D6D">
      <w:pPr>
        <w:widowControl w:val="0"/>
        <w:numPr>
          <w:ilvl w:val="2"/>
          <w:numId w:val="2"/>
        </w:numPr>
        <w:suppressAutoHyphens w:val="0"/>
        <w:autoSpaceDE w:val="0"/>
        <w:autoSpaceDN w:val="0"/>
        <w:adjustRightInd w:val="0"/>
        <w:ind w:left="1276" w:hanging="709"/>
      </w:pPr>
      <w:r w:rsidRPr="00EE70D3">
        <w:t xml:space="preserve">organizēt savu elektroietaišu kvalificētu apkalpošanu un nodrošināt to tehnisko stāvokli atbilstoši elektroietaišu tehniskās ekspluatācijas un elektrodrošības noteikumu prasībām;    </w:t>
      </w:r>
    </w:p>
    <w:p w14:paraId="31A83CB3" w14:textId="77777777" w:rsidR="00464D6D" w:rsidRPr="00EE70D3" w:rsidRDefault="00464D6D" w:rsidP="00464D6D">
      <w:pPr>
        <w:widowControl w:val="0"/>
        <w:numPr>
          <w:ilvl w:val="2"/>
          <w:numId w:val="2"/>
        </w:numPr>
        <w:suppressAutoHyphens w:val="0"/>
        <w:autoSpaceDE w:val="0"/>
        <w:autoSpaceDN w:val="0"/>
        <w:adjustRightInd w:val="0"/>
        <w:spacing w:after="120"/>
        <w:ind w:left="1276" w:hanging="709"/>
      </w:pPr>
      <w:r w:rsidRPr="00EE70D3">
        <w:t>saņemt no Piegādātāja normatīvajos aktos noteikto informāciju, kas saistīta ar elektroenerģijas pārdošanu Pasūtītājam.</w:t>
      </w:r>
    </w:p>
    <w:p w14:paraId="1E2D677C" w14:textId="77777777" w:rsidR="00464D6D" w:rsidRPr="00EE70D3" w:rsidRDefault="00464D6D" w:rsidP="00464D6D">
      <w:pPr>
        <w:widowControl w:val="0"/>
        <w:numPr>
          <w:ilvl w:val="1"/>
          <w:numId w:val="2"/>
        </w:numPr>
        <w:suppressAutoHyphens w:val="0"/>
        <w:autoSpaceDE w:val="0"/>
        <w:autoSpaceDN w:val="0"/>
        <w:adjustRightInd w:val="0"/>
        <w:spacing w:before="120"/>
        <w:ind w:left="567" w:hanging="567"/>
      </w:pPr>
      <w:r w:rsidRPr="00EE70D3">
        <w:rPr>
          <w:iCs/>
        </w:rPr>
        <w:t>Piegādātāja pienākumi un tiesības:</w:t>
      </w:r>
    </w:p>
    <w:p w14:paraId="4EE7CC53" w14:textId="01F22B9E" w:rsidR="00464D6D" w:rsidRPr="00EE70D3" w:rsidRDefault="00464D6D" w:rsidP="00464D6D">
      <w:pPr>
        <w:widowControl w:val="0"/>
        <w:numPr>
          <w:ilvl w:val="2"/>
          <w:numId w:val="2"/>
        </w:numPr>
        <w:suppressAutoHyphens w:val="0"/>
        <w:autoSpaceDE w:val="0"/>
        <w:autoSpaceDN w:val="0"/>
        <w:adjustRightInd w:val="0"/>
        <w:ind w:left="1276" w:hanging="709"/>
      </w:pPr>
      <w:r w:rsidRPr="00EE70D3">
        <w:t xml:space="preserve">5 darba dienas pirms Līgumā paredzētās elektroenerģijas piegādes sākuma informēt sistēmas operatoru, ar kuru Pasūtītājam ir noslēgts sistēmas pakalpojumu līgums, par šo Līgumu;     </w:t>
      </w:r>
    </w:p>
    <w:p w14:paraId="2D96628C" w14:textId="77777777" w:rsidR="00464D6D" w:rsidRPr="00EE70D3" w:rsidRDefault="00464D6D" w:rsidP="00464D6D">
      <w:pPr>
        <w:widowControl w:val="0"/>
        <w:numPr>
          <w:ilvl w:val="2"/>
          <w:numId w:val="2"/>
        </w:numPr>
        <w:suppressAutoHyphens w:val="0"/>
        <w:autoSpaceDE w:val="0"/>
        <w:autoSpaceDN w:val="0"/>
        <w:adjustRightInd w:val="0"/>
        <w:ind w:left="1276" w:hanging="709"/>
      </w:pPr>
      <w:r w:rsidRPr="00EE70D3">
        <w:t xml:space="preserve">piegādāt elektroenerģiju pēc finanšu piedāvājumā noteiktās cenas; </w:t>
      </w:r>
    </w:p>
    <w:p w14:paraId="7D4F58E4" w14:textId="427FFADB" w:rsidR="00464D6D" w:rsidRPr="00AA5143" w:rsidRDefault="00CE58C6" w:rsidP="00464D6D">
      <w:pPr>
        <w:widowControl w:val="0"/>
        <w:numPr>
          <w:ilvl w:val="2"/>
          <w:numId w:val="2"/>
        </w:numPr>
        <w:suppressAutoHyphens w:val="0"/>
        <w:autoSpaceDE w:val="0"/>
        <w:autoSpaceDN w:val="0"/>
        <w:adjustRightInd w:val="0"/>
        <w:ind w:left="1276"/>
      </w:pPr>
      <w:r w:rsidRPr="00AA5143">
        <w:t xml:space="preserve">izskatīt Pasūtītāja pretenzijas </w:t>
      </w:r>
      <w:r w:rsidR="00464D6D" w:rsidRPr="00AA5143">
        <w:t>Līgumā noteiktā kārtībā</w:t>
      </w:r>
      <w:r w:rsidR="006F451C" w:rsidRPr="00AA5143">
        <w:t>;</w:t>
      </w:r>
    </w:p>
    <w:p w14:paraId="68122055" w14:textId="591FF348" w:rsidR="00464D6D" w:rsidRPr="00AA5143" w:rsidRDefault="00187375" w:rsidP="00464D6D">
      <w:pPr>
        <w:widowControl w:val="0"/>
        <w:numPr>
          <w:ilvl w:val="2"/>
          <w:numId w:val="2"/>
        </w:numPr>
        <w:suppressAutoHyphens w:val="0"/>
        <w:autoSpaceDE w:val="0"/>
        <w:autoSpaceDN w:val="0"/>
        <w:adjustRightInd w:val="0"/>
        <w:ind w:left="1276"/>
      </w:pPr>
      <w:r w:rsidRPr="00AA5143">
        <w:t xml:space="preserve">10 (desmit) kalendāro dienu laikā pēc komercuzskaites mēraparāta rādījumu saņemšanas </w:t>
      </w:r>
      <w:r w:rsidR="00464D6D" w:rsidRPr="00AA5143">
        <w:t>izrakstīt un elektroniski nosūtīt Pasūtītājam elektroniski sagatavotu rēķinu</w:t>
      </w:r>
      <w:r w:rsidR="00CE58C6" w:rsidRPr="00AA5143">
        <w:t xml:space="preserve"> par tā saņemto elektroenerģiju pēc Pasūtītāja faktiski patērētā elektroenerģijas apjoma</w:t>
      </w:r>
      <w:r w:rsidR="00464D6D" w:rsidRPr="00AA5143">
        <w:t>, k</w:t>
      </w:r>
      <w:r w:rsidRPr="00AA5143">
        <w:t>as</w:t>
      </w:r>
      <w:r w:rsidR="00464D6D" w:rsidRPr="00AA5143">
        <w:t xml:space="preserve"> ir derīgs bez paraksta, Rēķina nosūtīšana pa pastu ir papildu pakalpojums Līguma izpratnē;</w:t>
      </w:r>
    </w:p>
    <w:p w14:paraId="1A6F4050" w14:textId="560D010D" w:rsidR="00464D6D" w:rsidRPr="00AA5143" w:rsidRDefault="00187375" w:rsidP="00464D6D">
      <w:pPr>
        <w:widowControl w:val="0"/>
        <w:numPr>
          <w:ilvl w:val="2"/>
          <w:numId w:val="2"/>
        </w:numPr>
        <w:suppressAutoHyphens w:val="0"/>
        <w:autoSpaceDE w:val="0"/>
        <w:autoSpaceDN w:val="0"/>
        <w:adjustRightInd w:val="0"/>
        <w:ind w:left="1276" w:hanging="709"/>
      </w:pPr>
      <w:r w:rsidRPr="00AA5143">
        <w:t xml:space="preserve">Piegādātājs samazina nosūtāmā rēķina maksājamās summas apmēru par avansā samaksāto summu, </w:t>
      </w:r>
      <w:r w:rsidR="00464D6D" w:rsidRPr="00AA5143">
        <w:t>ja pirms rēķina izrakstīšanas un nosūtīšanas Pasūtītājs ir veicis avansa maksājumus</w:t>
      </w:r>
    </w:p>
    <w:p w14:paraId="3902F1F6" w14:textId="77777777" w:rsidR="00464D6D" w:rsidRPr="00AA5143" w:rsidRDefault="00464D6D" w:rsidP="00464D6D">
      <w:pPr>
        <w:widowControl w:val="0"/>
        <w:numPr>
          <w:ilvl w:val="2"/>
          <w:numId w:val="2"/>
        </w:numPr>
        <w:suppressAutoHyphens w:val="0"/>
        <w:autoSpaceDE w:val="0"/>
        <w:autoSpaceDN w:val="0"/>
        <w:adjustRightInd w:val="0"/>
        <w:ind w:left="1276" w:hanging="709"/>
      </w:pPr>
      <w:r w:rsidRPr="00AA5143">
        <w:t>nodrošināt Pasūtītājam balansēšanas pakalpojumu;</w:t>
      </w:r>
    </w:p>
    <w:p w14:paraId="41094D59" w14:textId="4BEE4536" w:rsidR="00464D6D" w:rsidRPr="00AA5143" w:rsidRDefault="00464D6D" w:rsidP="00464D6D">
      <w:pPr>
        <w:widowControl w:val="0"/>
        <w:numPr>
          <w:ilvl w:val="2"/>
          <w:numId w:val="2"/>
        </w:numPr>
        <w:suppressAutoHyphens w:val="0"/>
        <w:autoSpaceDE w:val="0"/>
        <w:autoSpaceDN w:val="0"/>
        <w:adjustRightInd w:val="0"/>
        <w:ind w:left="1276" w:hanging="709"/>
      </w:pPr>
      <w:r w:rsidRPr="00AA5143">
        <w:t xml:space="preserve">Pasūtītājam nosūtāmajā rēķinā </w:t>
      </w:r>
      <w:r w:rsidR="00FE3FFA" w:rsidRPr="00AA5143">
        <w:t xml:space="preserve">Piegādātājs </w:t>
      </w:r>
      <w:r w:rsidRPr="00AA5143">
        <w:t>ietver maksu par sistēmas pakalpojumiem un palīgpakalpojumiem, kā arī par obligātā iepirkuma komponentēm, ja vien Puses nevienojas citādāk.</w:t>
      </w:r>
    </w:p>
    <w:p w14:paraId="1CE92727" w14:textId="0EE1FB44" w:rsidR="00464D6D" w:rsidRPr="00AA5143" w:rsidRDefault="00464D6D" w:rsidP="00464D6D">
      <w:pPr>
        <w:widowControl w:val="0"/>
        <w:numPr>
          <w:ilvl w:val="2"/>
          <w:numId w:val="2"/>
        </w:numPr>
        <w:suppressAutoHyphens w:val="0"/>
        <w:autoSpaceDE w:val="0"/>
        <w:autoSpaceDN w:val="0"/>
        <w:adjustRightInd w:val="0"/>
        <w:ind w:left="1276" w:hanging="709"/>
      </w:pPr>
      <w:r w:rsidRPr="00AA5143">
        <w:t>ja Piegādātājs savlaicīgi nesaņem komercuzskaites mēraparātu rādījumus, tam ir tiesības izrakstīt rēķinu pēc visu iepriekšējo mēnešu, taču ne vairāk kā pēdējo 12 (divpadsmit) mēnešu vidējā patēriņa;</w:t>
      </w:r>
    </w:p>
    <w:p w14:paraId="378FB226" w14:textId="07316F6B" w:rsidR="00464D6D" w:rsidRPr="00AA5143" w:rsidRDefault="00464D6D" w:rsidP="00464D6D">
      <w:pPr>
        <w:widowControl w:val="0"/>
        <w:numPr>
          <w:ilvl w:val="2"/>
          <w:numId w:val="2"/>
        </w:numPr>
        <w:suppressAutoHyphens w:val="0"/>
        <w:autoSpaceDE w:val="0"/>
        <w:autoSpaceDN w:val="0"/>
        <w:adjustRightInd w:val="0"/>
        <w:ind w:left="1276" w:hanging="709"/>
      </w:pPr>
      <w:r w:rsidRPr="00AA5143">
        <w:t>no summām, kas saņemtas no Pasūtītāja rēķinu apmaksai, pirms to ieskaitīšanas kārtējā maksājuma veikšanai</w:t>
      </w:r>
      <w:r w:rsidR="007A509E" w:rsidRPr="00AA5143">
        <w:t>,</w:t>
      </w:r>
      <w:r w:rsidRPr="00AA5143">
        <w:t xml:space="preserve"> Piegādātājs vispirms var dzēst nokavējuma procentus (ja tādi ir) un parādu par saņemto elektroenerģiju (ja tāds ir);</w:t>
      </w:r>
    </w:p>
    <w:p w14:paraId="1EB23160" w14:textId="07DABB2C" w:rsidR="00464D6D" w:rsidRPr="00AA5143" w:rsidRDefault="00464D6D" w:rsidP="00464D6D">
      <w:pPr>
        <w:widowControl w:val="0"/>
        <w:numPr>
          <w:ilvl w:val="2"/>
          <w:numId w:val="2"/>
        </w:numPr>
        <w:suppressAutoHyphens w:val="0"/>
        <w:autoSpaceDE w:val="0"/>
        <w:autoSpaceDN w:val="0"/>
        <w:adjustRightInd w:val="0"/>
        <w:ind w:left="1276" w:hanging="709"/>
      </w:pPr>
      <w:r w:rsidRPr="00AA5143">
        <w:t xml:space="preserve">ja Pasūtītājs 12 (divpadsmit) mēnešu laikā vai Līguma darbības laikā, ja tas ir </w:t>
      </w:r>
      <w:r w:rsidRPr="00AA5143">
        <w:lastRenderedPageBreak/>
        <w:t>mazāks, ir kavējis ikmēneša maksājumu par vismaz 5 (piecām) dienām, un šāda saistību neizpilde turpinās 10 (desmit) dienas pēc tam, kad Piegādātājs par to ir rakstiski brīdinājis Pasūtītāju, Piegādātājam ir tiesības informēt sistēmas operatoru par deleģējuma atsaukšanu un pārtraukt norēķinus ar sistēmas operatoru Pasūtītāja vārdā par sistēmas pakalpojumiem un palīgpakalpojumiem, kā arī par obligātā iepirkuma komponentēm.</w:t>
      </w:r>
    </w:p>
    <w:p w14:paraId="351CF3FC" w14:textId="4E446728" w:rsidR="00464D6D" w:rsidRPr="00AA5143" w:rsidRDefault="00464D6D" w:rsidP="00464D6D">
      <w:pPr>
        <w:widowControl w:val="0"/>
        <w:numPr>
          <w:ilvl w:val="1"/>
          <w:numId w:val="2"/>
        </w:numPr>
        <w:suppressAutoHyphens w:val="0"/>
        <w:autoSpaceDE w:val="0"/>
        <w:autoSpaceDN w:val="0"/>
        <w:adjustRightInd w:val="0"/>
        <w:spacing w:before="120" w:after="120"/>
        <w:ind w:left="567" w:hanging="567"/>
      </w:pPr>
      <w:r w:rsidRPr="00AA5143">
        <w:t>Pušu atbildība tiek regulēta saskaņā ar spēkā esošajiem normatīvajiem aktiem. Puses ir atbildīgas par Līguma nepildīšanu vai nepienācīgu tā pildīšanu, un vainīgā Puse atlīdzina otrai Pusei radušos tiešos zaudējumus.</w:t>
      </w:r>
      <w:r w:rsidRPr="00AA5143" w:rsidDel="00634723">
        <w:t xml:space="preserve"> </w:t>
      </w:r>
    </w:p>
    <w:p w14:paraId="32C8E8A8" w14:textId="77777777" w:rsidR="00464D6D" w:rsidRPr="00AA5143" w:rsidRDefault="00464D6D" w:rsidP="00464D6D">
      <w:pPr>
        <w:widowControl w:val="0"/>
        <w:numPr>
          <w:ilvl w:val="1"/>
          <w:numId w:val="2"/>
        </w:numPr>
        <w:suppressAutoHyphens w:val="0"/>
        <w:autoSpaceDE w:val="0"/>
        <w:autoSpaceDN w:val="0"/>
        <w:adjustRightInd w:val="0"/>
        <w:spacing w:before="120" w:after="120"/>
        <w:ind w:left="567" w:hanging="567"/>
      </w:pPr>
      <w:r w:rsidRPr="00AA5143">
        <w:t>Ja Pusēm rodas domstarpības par zaudējumu rašanās cēloni un apjomu, Puses vienojas par neatkarīga eksperta pieaicināšanu, kura pakalpojumus sedz vainīgā Puse.</w:t>
      </w:r>
    </w:p>
    <w:p w14:paraId="60925443" w14:textId="2B6769D8" w:rsidR="00464D6D" w:rsidRPr="00AA5143" w:rsidRDefault="00464D6D" w:rsidP="00464D6D">
      <w:pPr>
        <w:widowControl w:val="0"/>
        <w:numPr>
          <w:ilvl w:val="1"/>
          <w:numId w:val="2"/>
        </w:numPr>
        <w:suppressAutoHyphens w:val="0"/>
        <w:autoSpaceDE w:val="0"/>
        <w:autoSpaceDN w:val="0"/>
        <w:adjustRightInd w:val="0"/>
        <w:spacing w:before="120" w:after="120"/>
        <w:ind w:left="567" w:hanging="567"/>
      </w:pPr>
      <w:r w:rsidRPr="00AA5143">
        <w:t>Par Līgumā noteiktā maksājuma termiņa nokavēšanu Piegādātājam ir tiesības pieprasīt kavējuma naudu 0,15</w:t>
      </w:r>
      <w:r w:rsidR="00260995" w:rsidRPr="00AA5143">
        <w:t xml:space="preserve"> </w:t>
      </w:r>
      <w:r w:rsidRPr="00AA5143">
        <w:t>% (nulle, komats, piecpadsmit</w:t>
      </w:r>
      <w:r w:rsidR="00260995" w:rsidRPr="00AA5143">
        <w:t xml:space="preserve"> procenti</w:t>
      </w:r>
      <w:r w:rsidRPr="00AA5143">
        <w:t>) apmērā no laikā nesamaksātās summas par katru nokavēto kalendāro dienu saskaņā ar MK noteikumu Nr.50 87.punktu</w:t>
      </w:r>
      <w:bookmarkStart w:id="1" w:name="_Hlk517173128"/>
      <w:r w:rsidRPr="00AA5143">
        <w:rPr>
          <w:i/>
        </w:rPr>
        <w:t>.</w:t>
      </w:r>
      <w:bookmarkEnd w:id="1"/>
    </w:p>
    <w:p w14:paraId="68B7895F" w14:textId="0E712098" w:rsidR="00464D6D" w:rsidRPr="00AA5143" w:rsidRDefault="00464D6D" w:rsidP="00464D6D">
      <w:pPr>
        <w:widowControl w:val="0"/>
        <w:numPr>
          <w:ilvl w:val="1"/>
          <w:numId w:val="2"/>
        </w:numPr>
        <w:suppressAutoHyphens w:val="0"/>
        <w:autoSpaceDE w:val="0"/>
        <w:autoSpaceDN w:val="0"/>
        <w:adjustRightInd w:val="0"/>
        <w:spacing w:before="120" w:after="120"/>
        <w:ind w:left="567" w:hanging="567"/>
      </w:pPr>
      <w:r w:rsidRPr="00AA5143">
        <w:t xml:space="preserve">Par 2.1. punktā minētās elektroenerģijas piegādes uzsākšanas termiņa nokavējumu Pasūtītājam ir tiesības prasīt Piegādātājam līgumsodu EUR 200,00 (divi simti </w:t>
      </w:r>
      <w:proofErr w:type="spellStart"/>
      <w:r w:rsidRPr="00AA5143">
        <w:t>euro</w:t>
      </w:r>
      <w:proofErr w:type="spellEnd"/>
      <w:r w:rsidRPr="00AA5143">
        <w:t>) apmērā par katru kavējuma dienu</w:t>
      </w:r>
      <w:r w:rsidR="00FC6068" w:rsidRPr="00AA5143">
        <w:t xml:space="preserve"> un Piegādātājam ir pienākums to apmaksāt</w:t>
      </w:r>
      <w:r w:rsidRPr="00AA5143">
        <w:t>. Šajā gadījumā aprēķinātais līgumsods nedrīkst pārsniegt EUR 3000,00.</w:t>
      </w:r>
    </w:p>
    <w:p w14:paraId="641DE517" w14:textId="77777777" w:rsidR="00464D6D" w:rsidRPr="00AA5143" w:rsidRDefault="00464D6D" w:rsidP="00464D6D">
      <w:pPr>
        <w:widowControl w:val="0"/>
        <w:numPr>
          <w:ilvl w:val="1"/>
          <w:numId w:val="2"/>
        </w:numPr>
        <w:suppressAutoHyphens w:val="0"/>
        <w:autoSpaceDE w:val="0"/>
        <w:autoSpaceDN w:val="0"/>
        <w:adjustRightInd w:val="0"/>
        <w:spacing w:before="120" w:after="120"/>
        <w:ind w:left="567" w:hanging="567"/>
      </w:pPr>
      <w:r w:rsidRPr="00AA5143">
        <w:t xml:space="preserve">Piegādātājs nav atbildīgs Pasūtītājam neiespējamību pārdot elektroenerģiju sakarā ar to, ka Pasūtītājam nav spēkā esoša sistēmas pakalpojumu līguma vai elektroenerģijas sistēmas operators nesniedz Pasūtītājam sistēmas pakalpojumus no Piegādātāja neatkarīgu iemeslu dēļ. </w:t>
      </w:r>
    </w:p>
    <w:p w14:paraId="69EA8C8D" w14:textId="77777777" w:rsidR="00464D6D" w:rsidRPr="00AA5143" w:rsidRDefault="00464D6D" w:rsidP="00464D6D">
      <w:pPr>
        <w:widowControl w:val="0"/>
        <w:numPr>
          <w:ilvl w:val="1"/>
          <w:numId w:val="2"/>
        </w:numPr>
        <w:suppressAutoHyphens w:val="0"/>
        <w:autoSpaceDE w:val="0"/>
        <w:autoSpaceDN w:val="0"/>
        <w:adjustRightInd w:val="0"/>
        <w:spacing w:before="120" w:after="120"/>
        <w:ind w:left="567" w:hanging="567"/>
      </w:pPr>
      <w:r w:rsidRPr="00AA5143">
        <w:t>Puses apņemas neizpaust un neizplatīt trešajām personām bez otras Puses piekrišanas Līguma noteikumus vai citu Līguma izpildes gaitā iegūtu informāciju, izņemot gadījumus, kad atbilstoši apkopota informācija tiek sniegta tirgus darbības nodrošināšanai, rēķinu izrakstīšanai, kredītu kontrolei, parādu piedziņai, kā arī gadījumos, kad informācijas izpaušanu pieprasa piemērojamie tiesību akti.</w:t>
      </w:r>
    </w:p>
    <w:p w14:paraId="661EFE52" w14:textId="77777777" w:rsidR="00464D6D" w:rsidRPr="00AA5143" w:rsidRDefault="00464D6D" w:rsidP="00464D6D">
      <w:pPr>
        <w:widowControl w:val="0"/>
        <w:numPr>
          <w:ilvl w:val="0"/>
          <w:numId w:val="2"/>
        </w:numPr>
        <w:suppressAutoHyphens w:val="0"/>
        <w:autoSpaceDE w:val="0"/>
        <w:autoSpaceDN w:val="0"/>
        <w:adjustRightInd w:val="0"/>
        <w:spacing w:before="120" w:after="120"/>
        <w:jc w:val="center"/>
        <w:rPr>
          <w:b/>
        </w:rPr>
      </w:pPr>
      <w:r w:rsidRPr="00AA5143">
        <w:rPr>
          <w:b/>
          <w:bCs/>
          <w:iCs/>
        </w:rPr>
        <w:t>Domstarpības un strīdi</w:t>
      </w:r>
    </w:p>
    <w:p w14:paraId="4E0F8EB8" w14:textId="77777777" w:rsidR="00464D6D" w:rsidRPr="00AA5143" w:rsidRDefault="00464D6D" w:rsidP="00464D6D">
      <w:pPr>
        <w:widowControl w:val="0"/>
        <w:numPr>
          <w:ilvl w:val="1"/>
          <w:numId w:val="2"/>
        </w:numPr>
        <w:suppressAutoHyphens w:val="0"/>
        <w:autoSpaceDE w:val="0"/>
        <w:autoSpaceDN w:val="0"/>
        <w:adjustRightInd w:val="0"/>
        <w:spacing w:before="120" w:after="120"/>
        <w:ind w:left="567" w:hanging="567"/>
      </w:pPr>
      <w:r w:rsidRPr="00AA5143">
        <w:t>Visas pretenzijas un strīdus Līguma izpildes laikā Puses risinās savstarpēju pārrunu ceļā. Strīdi, par kuriem nav panākta vienošanās pārrunu ceļā, tiks izskatīti Latvijas Republikas normatīvajos aktos noteiktajā kārtībā.</w:t>
      </w:r>
    </w:p>
    <w:p w14:paraId="45E2F725" w14:textId="77777777" w:rsidR="00464D6D" w:rsidRPr="00AA5143" w:rsidRDefault="00464D6D" w:rsidP="00464D6D">
      <w:pPr>
        <w:widowControl w:val="0"/>
        <w:numPr>
          <w:ilvl w:val="0"/>
          <w:numId w:val="2"/>
        </w:numPr>
        <w:suppressAutoHyphens w:val="0"/>
        <w:autoSpaceDE w:val="0"/>
        <w:autoSpaceDN w:val="0"/>
        <w:adjustRightInd w:val="0"/>
        <w:spacing w:before="120" w:after="120"/>
        <w:jc w:val="center"/>
        <w:rPr>
          <w:b/>
        </w:rPr>
      </w:pPr>
      <w:r w:rsidRPr="00AA5143">
        <w:rPr>
          <w:b/>
          <w:bCs/>
          <w:iCs/>
        </w:rPr>
        <w:t>Nep</w:t>
      </w:r>
      <w:r w:rsidRPr="00AA5143">
        <w:rPr>
          <w:b/>
          <w:iCs/>
        </w:rPr>
        <w:t>ā</w:t>
      </w:r>
      <w:r w:rsidRPr="00AA5143">
        <w:rPr>
          <w:b/>
          <w:bCs/>
          <w:iCs/>
        </w:rPr>
        <w:t>rvarama vara</w:t>
      </w:r>
    </w:p>
    <w:p w14:paraId="2F30192A" w14:textId="24FC263C" w:rsidR="00464D6D" w:rsidRPr="00AA5143" w:rsidRDefault="00464D6D" w:rsidP="00464D6D">
      <w:pPr>
        <w:widowControl w:val="0"/>
        <w:numPr>
          <w:ilvl w:val="1"/>
          <w:numId w:val="2"/>
        </w:numPr>
        <w:suppressAutoHyphens w:val="0"/>
        <w:autoSpaceDE w:val="0"/>
        <w:autoSpaceDN w:val="0"/>
        <w:adjustRightInd w:val="0"/>
        <w:spacing w:before="120" w:after="120"/>
        <w:ind w:left="567" w:hanging="567"/>
      </w:pPr>
      <w:r w:rsidRPr="00AA5143">
        <w:t xml:space="preserve">Puses nav atbildīgas par Līgumā noteikto saistību pilnīgu vai daļēju neizpildi, ja tā radusies tādu apstākļu dēļ, </w:t>
      </w:r>
      <w:r w:rsidR="00240BB9" w:rsidRPr="00AA5143">
        <w:t xml:space="preserve">ko </w:t>
      </w:r>
      <w:r w:rsidRPr="00AA5143">
        <w:t>Puses nevarēja paredzēt Līguma slēgšanas brīdī, kā arī pārvarēt vai novērst tos, t.sk., dabas stihijas, ugunsgrēka, militārās akcijas vai blokādes.</w:t>
      </w:r>
    </w:p>
    <w:p w14:paraId="6342281D" w14:textId="77777777" w:rsidR="00464D6D" w:rsidRPr="00AA5143" w:rsidRDefault="00464D6D" w:rsidP="00464D6D">
      <w:pPr>
        <w:widowControl w:val="0"/>
        <w:numPr>
          <w:ilvl w:val="1"/>
          <w:numId w:val="2"/>
        </w:numPr>
        <w:suppressAutoHyphens w:val="0"/>
        <w:autoSpaceDE w:val="0"/>
        <w:autoSpaceDN w:val="0"/>
        <w:adjustRightInd w:val="0"/>
        <w:spacing w:before="120" w:after="120"/>
        <w:ind w:left="567" w:hanging="567"/>
      </w:pPr>
      <w:r w:rsidRPr="00AA5143">
        <w:t>Puse, kura nevar izpildīt Līgumā noteiktās saistības nepārvaramas varas apstākļu dēļ, nekavējoties par to paziņo otrai Pusei. Pretējā gadījumā Pusei nav tiesību atsaukties uz nepārvaramas varas apstākļiem kā uz atbrīvošanas no atbildības pamatu.</w:t>
      </w:r>
    </w:p>
    <w:p w14:paraId="7C09C1CA" w14:textId="77777777" w:rsidR="00464D6D" w:rsidRPr="00AA5143" w:rsidRDefault="00464D6D" w:rsidP="00464D6D">
      <w:pPr>
        <w:widowControl w:val="0"/>
        <w:numPr>
          <w:ilvl w:val="1"/>
          <w:numId w:val="2"/>
        </w:numPr>
        <w:suppressAutoHyphens w:val="0"/>
        <w:autoSpaceDE w:val="0"/>
        <w:autoSpaceDN w:val="0"/>
        <w:adjustRightInd w:val="0"/>
        <w:spacing w:before="120" w:after="120"/>
        <w:ind w:left="567" w:hanging="567"/>
      </w:pPr>
      <w:r w:rsidRPr="00AA5143">
        <w:t>Nepārvaramas varas apstākļu gadījumā Līgumā noteikto saistību izpildes termiņš automātiski pagarinās par laiku, kas vienāds ar nepārvaramas varas apstākļu darbības laiku.</w:t>
      </w:r>
    </w:p>
    <w:p w14:paraId="1D5C59BF" w14:textId="77777777" w:rsidR="00464D6D" w:rsidRPr="00AA5143" w:rsidRDefault="00464D6D" w:rsidP="00464D6D">
      <w:pPr>
        <w:widowControl w:val="0"/>
        <w:numPr>
          <w:ilvl w:val="1"/>
          <w:numId w:val="2"/>
        </w:numPr>
        <w:suppressAutoHyphens w:val="0"/>
        <w:autoSpaceDE w:val="0"/>
        <w:autoSpaceDN w:val="0"/>
        <w:adjustRightInd w:val="0"/>
        <w:spacing w:before="120" w:after="120"/>
        <w:ind w:left="567" w:hanging="567"/>
      </w:pPr>
      <w:r w:rsidRPr="00AA5143">
        <w:t xml:space="preserve">Ja nepārvaramas varas apstākļi turpinās ilgāk par 2 (diviem) mēnešiem, katrai Pusei ir tiesības vienpusēji atkāpties no Līguma, rakstiski par to paziņojot otrai Pusei. Šādā </w:t>
      </w:r>
      <w:r w:rsidRPr="00AA5143">
        <w:lastRenderedPageBreak/>
        <w:t>gadījumā Puses veic savstarpējos norēķinus līdz Līguma izbeigšanai.</w:t>
      </w:r>
    </w:p>
    <w:p w14:paraId="7AEBB57F" w14:textId="77777777" w:rsidR="00464D6D" w:rsidRPr="00AA5143" w:rsidRDefault="00464D6D" w:rsidP="00464D6D">
      <w:pPr>
        <w:widowControl w:val="0"/>
        <w:numPr>
          <w:ilvl w:val="1"/>
          <w:numId w:val="2"/>
        </w:numPr>
        <w:suppressAutoHyphens w:val="0"/>
        <w:autoSpaceDE w:val="0"/>
        <w:autoSpaceDN w:val="0"/>
        <w:adjustRightInd w:val="0"/>
        <w:spacing w:before="120" w:after="120"/>
        <w:ind w:left="567" w:hanging="567"/>
      </w:pPr>
      <w:r w:rsidRPr="00AA5143">
        <w:t>Nepārvaramas varas apstākļu iestāšanās faktu Puse, kura nevar izpildīt Līgumā noteiktās saistības, pierāda ar kompetentas valsts vai pašvaldību institūcijas izdotu dokumentu.</w:t>
      </w:r>
    </w:p>
    <w:p w14:paraId="3F9EC36C" w14:textId="77777777" w:rsidR="00464D6D" w:rsidRPr="00AA5143" w:rsidRDefault="00464D6D" w:rsidP="00464D6D">
      <w:pPr>
        <w:widowControl w:val="0"/>
        <w:numPr>
          <w:ilvl w:val="0"/>
          <w:numId w:val="2"/>
        </w:numPr>
        <w:suppressAutoHyphens w:val="0"/>
        <w:autoSpaceDE w:val="0"/>
        <w:autoSpaceDN w:val="0"/>
        <w:adjustRightInd w:val="0"/>
        <w:spacing w:before="120" w:after="120"/>
        <w:jc w:val="center"/>
        <w:rPr>
          <w:b/>
        </w:rPr>
      </w:pPr>
      <w:r w:rsidRPr="00AA5143">
        <w:rPr>
          <w:b/>
          <w:bCs/>
          <w:iCs/>
        </w:rPr>
        <w:t>L</w:t>
      </w:r>
      <w:r w:rsidRPr="00AA5143">
        <w:rPr>
          <w:b/>
          <w:iCs/>
        </w:rPr>
        <w:t>ī</w:t>
      </w:r>
      <w:r w:rsidRPr="00AA5143">
        <w:rPr>
          <w:b/>
          <w:bCs/>
          <w:iCs/>
        </w:rPr>
        <w:t>guma laušana</w:t>
      </w:r>
    </w:p>
    <w:p w14:paraId="48BBCA7E" w14:textId="78539C6B" w:rsidR="00464D6D" w:rsidRPr="00AA5143" w:rsidRDefault="00464D6D" w:rsidP="00464D6D">
      <w:pPr>
        <w:widowControl w:val="0"/>
        <w:numPr>
          <w:ilvl w:val="1"/>
          <w:numId w:val="2"/>
        </w:numPr>
        <w:suppressAutoHyphens w:val="0"/>
        <w:autoSpaceDE w:val="0"/>
        <w:autoSpaceDN w:val="0"/>
        <w:adjustRightInd w:val="0"/>
        <w:spacing w:before="120"/>
        <w:ind w:left="567" w:hanging="567"/>
      </w:pPr>
      <w:r w:rsidRPr="00AA5143">
        <w:rPr>
          <w:iCs/>
        </w:rPr>
        <w:t xml:space="preserve">Pasūtītājam ir tiesības jebkurā laikā izbeigt Līgumu, vismaz 60 (sešdesmit) dienas iepriekš </w:t>
      </w:r>
      <w:r w:rsidR="009B1857" w:rsidRPr="00AA5143">
        <w:rPr>
          <w:iCs/>
        </w:rPr>
        <w:t xml:space="preserve">par to </w:t>
      </w:r>
      <w:r w:rsidRPr="00AA5143">
        <w:rPr>
          <w:iCs/>
        </w:rPr>
        <w:t>rakstiski brīdinot</w:t>
      </w:r>
      <w:r w:rsidR="009B1857" w:rsidRPr="00AA5143">
        <w:rPr>
          <w:iCs/>
        </w:rPr>
        <w:t xml:space="preserve"> Piegādātāju</w:t>
      </w:r>
      <w:r w:rsidRPr="00AA5143">
        <w:rPr>
          <w:i/>
        </w:rPr>
        <w:t>.</w:t>
      </w:r>
      <w:r w:rsidR="00F25AA3" w:rsidRPr="00AA5143">
        <w:t xml:space="preserve"> Šādā gadījumā Pasūtītājs apmaksā Piegādātāja iesniegtos rēķinus līdz Līguma izbeigšanās brīdim.</w:t>
      </w:r>
    </w:p>
    <w:p w14:paraId="67542FD1" w14:textId="3AA49FCB" w:rsidR="00464D6D" w:rsidRPr="00AA5143" w:rsidRDefault="00464D6D" w:rsidP="00464D6D">
      <w:pPr>
        <w:widowControl w:val="0"/>
        <w:numPr>
          <w:ilvl w:val="1"/>
          <w:numId w:val="2"/>
        </w:numPr>
        <w:suppressAutoHyphens w:val="0"/>
        <w:autoSpaceDE w:val="0"/>
        <w:autoSpaceDN w:val="0"/>
        <w:adjustRightInd w:val="0"/>
        <w:spacing w:before="120"/>
        <w:ind w:left="567" w:hanging="567"/>
        <w:rPr>
          <w:iCs/>
        </w:rPr>
      </w:pPr>
      <w:r w:rsidRPr="00AA5143">
        <w:t xml:space="preserve">Piegādātājs ir tiesīgs pārtraukt pārdot elektroenerģiju Pasūtītājam, vismaz </w:t>
      </w:r>
      <w:r w:rsidRPr="00AA5143">
        <w:rPr>
          <w:iCs/>
        </w:rPr>
        <w:t xml:space="preserve">60 (sešdesmit) dienas iepriekš </w:t>
      </w:r>
      <w:r w:rsidR="009B1857" w:rsidRPr="00AA5143">
        <w:t xml:space="preserve">par to </w:t>
      </w:r>
      <w:r w:rsidRPr="00AA5143">
        <w:rPr>
          <w:iCs/>
        </w:rPr>
        <w:t xml:space="preserve">rakstiski brīdinot </w:t>
      </w:r>
      <w:r w:rsidRPr="00AA5143">
        <w:t xml:space="preserve">Pasūtītāju, un vienpusēji atkāpties no </w:t>
      </w:r>
      <w:r w:rsidR="00367C93" w:rsidRPr="00AA5143">
        <w:t>Līguma</w:t>
      </w:r>
      <w:r w:rsidRPr="00AA5143">
        <w:t>, ja:</w:t>
      </w:r>
    </w:p>
    <w:p w14:paraId="23BB6248" w14:textId="77777777" w:rsidR="00464D6D" w:rsidRPr="00AA5143" w:rsidRDefault="00464D6D" w:rsidP="00464D6D">
      <w:pPr>
        <w:rPr>
          <w:sz w:val="2"/>
          <w:szCs w:val="2"/>
        </w:rPr>
      </w:pPr>
    </w:p>
    <w:p w14:paraId="66B63993" w14:textId="77777777" w:rsidR="00464D6D" w:rsidRPr="00AA5143" w:rsidRDefault="00464D6D" w:rsidP="00AE3282">
      <w:pPr>
        <w:widowControl w:val="0"/>
        <w:numPr>
          <w:ilvl w:val="2"/>
          <w:numId w:val="2"/>
        </w:numPr>
        <w:suppressAutoHyphens w:val="0"/>
        <w:autoSpaceDE w:val="0"/>
        <w:autoSpaceDN w:val="0"/>
        <w:adjustRightInd w:val="0"/>
        <w:ind w:left="1134" w:hanging="567"/>
      </w:pPr>
      <w:r w:rsidRPr="00AA5143">
        <w:rPr>
          <w:iCs/>
        </w:rPr>
        <w:t>Pasūtītājam nav spēkā vai spēku zaudējis 5.2.3. apakšpunktā minētais sistēmas pakalpojumu līgums;</w:t>
      </w:r>
    </w:p>
    <w:p w14:paraId="77CB98F0" w14:textId="11220D48" w:rsidR="00464D6D" w:rsidRPr="00AA5143" w:rsidRDefault="00AD08C9" w:rsidP="00AE3282">
      <w:pPr>
        <w:widowControl w:val="0"/>
        <w:numPr>
          <w:ilvl w:val="2"/>
          <w:numId w:val="2"/>
        </w:numPr>
        <w:suppressAutoHyphens w:val="0"/>
        <w:autoSpaceDE w:val="0"/>
        <w:autoSpaceDN w:val="0"/>
        <w:adjustRightInd w:val="0"/>
        <w:ind w:left="1134" w:hanging="567"/>
      </w:pPr>
      <w:r w:rsidRPr="00AA5143">
        <w:rPr>
          <w:iCs/>
        </w:rPr>
        <w:t xml:space="preserve">Pasūtītājs atkārtoti ir kavējis ikmēneša maksājumus par vismaz 10 (desmit) dienām </w:t>
      </w:r>
      <w:r w:rsidR="00464D6D" w:rsidRPr="00AA5143">
        <w:rPr>
          <w:iCs/>
        </w:rPr>
        <w:t>12 (divpadsmit) mēnešu laikā vai Līguma darbības laikā, ja tas ir mazāks,  un šāda saistību neizpilde turpinās 60 (sešdesmit) dienu pēc tam, kad Piegādātājs par to rakstiski brīdinājis Pasūtītāju</w:t>
      </w:r>
      <w:r w:rsidR="00464D6D" w:rsidRPr="00AA5143">
        <w:t xml:space="preserve">. </w:t>
      </w:r>
    </w:p>
    <w:p w14:paraId="02C22DC5" w14:textId="77777777" w:rsidR="00464D6D" w:rsidRPr="00AA5143" w:rsidRDefault="00464D6D" w:rsidP="00464D6D">
      <w:pPr>
        <w:widowControl w:val="0"/>
        <w:numPr>
          <w:ilvl w:val="0"/>
          <w:numId w:val="2"/>
        </w:numPr>
        <w:suppressAutoHyphens w:val="0"/>
        <w:autoSpaceDE w:val="0"/>
        <w:autoSpaceDN w:val="0"/>
        <w:adjustRightInd w:val="0"/>
        <w:spacing w:before="120" w:after="120"/>
        <w:jc w:val="center"/>
        <w:rPr>
          <w:b/>
        </w:rPr>
      </w:pPr>
      <w:r w:rsidRPr="00AA5143">
        <w:rPr>
          <w:b/>
          <w:bCs/>
          <w:iCs/>
        </w:rPr>
        <w:t>Nobeiguma noteikumi</w:t>
      </w:r>
    </w:p>
    <w:p w14:paraId="6E62A1D9" w14:textId="77777777" w:rsidR="00464D6D" w:rsidRPr="00EE70D3" w:rsidRDefault="00464D6D" w:rsidP="00464D6D">
      <w:pPr>
        <w:widowControl w:val="0"/>
        <w:numPr>
          <w:ilvl w:val="1"/>
          <w:numId w:val="2"/>
        </w:numPr>
        <w:suppressAutoHyphens w:val="0"/>
        <w:autoSpaceDE w:val="0"/>
        <w:autoSpaceDN w:val="0"/>
        <w:adjustRightInd w:val="0"/>
        <w:spacing w:before="120" w:after="120"/>
        <w:ind w:left="567" w:hanging="567"/>
      </w:pPr>
      <w:smartTag w:uri="schemas-tilde-lv/tildestengine" w:element="veidnes">
        <w:smartTagPr>
          <w:attr w:name="text" w:val="līgums"/>
          <w:attr w:name="baseform" w:val="līgums"/>
          <w:attr w:name="id" w:val="-1"/>
        </w:smartTagPr>
        <w:r w:rsidRPr="00EE70D3">
          <w:t>Līgums</w:t>
        </w:r>
      </w:smartTag>
      <w:r w:rsidRPr="00EE70D3">
        <w:t xml:space="preserve"> stājas spēkā no tā abpusējas parakstīšanas dienas un ir spēkā līdz saistību pilnīgai izpildei, ievērojot 2.1. punkta noteikumus.</w:t>
      </w:r>
    </w:p>
    <w:p w14:paraId="58E80662" w14:textId="77777777" w:rsidR="00464D6D" w:rsidRPr="00EE70D3" w:rsidRDefault="00464D6D" w:rsidP="00464D6D">
      <w:pPr>
        <w:widowControl w:val="0"/>
        <w:numPr>
          <w:ilvl w:val="1"/>
          <w:numId w:val="2"/>
        </w:numPr>
        <w:suppressAutoHyphens w:val="0"/>
        <w:autoSpaceDE w:val="0"/>
        <w:autoSpaceDN w:val="0"/>
        <w:adjustRightInd w:val="0"/>
        <w:spacing w:before="120" w:after="120"/>
        <w:ind w:left="567" w:hanging="567"/>
      </w:pPr>
      <w:smartTag w:uri="schemas-tilde-lv/tildestengine" w:element="veidnes">
        <w:smartTagPr>
          <w:attr w:name="text" w:val="līgums"/>
          <w:attr w:name="baseform" w:val="līgums"/>
          <w:attr w:name="id" w:val="-1"/>
        </w:smartTagPr>
        <w:r w:rsidRPr="00EE70D3">
          <w:t>Līgums</w:t>
        </w:r>
      </w:smartTag>
      <w:r w:rsidRPr="00EE70D3">
        <w:t xml:space="preserve"> var tikt papildināts ar pielikumiem pēc Pušu rakstiskas savstarpējas vienošanās. Jebkurš Līguma pielikums ir tā neatņemama sastāvdaļa. Visi papildinājumi un grozījumi Līguma tekstā izdarāmi rakstiski un ir spēkā tikai pēc to abpusējas parakstīšanas.</w:t>
      </w:r>
    </w:p>
    <w:p w14:paraId="5849B471" w14:textId="77777777" w:rsidR="00464D6D" w:rsidRPr="00EE70D3" w:rsidRDefault="00464D6D" w:rsidP="00464D6D">
      <w:pPr>
        <w:widowControl w:val="0"/>
        <w:numPr>
          <w:ilvl w:val="1"/>
          <w:numId w:val="2"/>
        </w:numPr>
        <w:suppressAutoHyphens w:val="0"/>
        <w:autoSpaceDE w:val="0"/>
        <w:autoSpaceDN w:val="0"/>
        <w:adjustRightInd w:val="0"/>
        <w:spacing w:before="120" w:after="120"/>
        <w:ind w:left="567" w:hanging="567"/>
      </w:pPr>
      <w:r w:rsidRPr="00EE70D3">
        <w:t>Neviena no Pusēm nav tiesīga bez otras Puses rakstiskas piekrišanas nodot kādu no Līgumā paredzētajām saistībām vai to izpildi trešajām personām, izņemot gadījumus, kad Puses saistības pārņem tās likumīgais tiesību pārņēmējs.</w:t>
      </w:r>
    </w:p>
    <w:p w14:paraId="1E9C40E6" w14:textId="2D483E25" w:rsidR="00464D6D" w:rsidRPr="00EE70D3" w:rsidRDefault="00464D6D" w:rsidP="00C80957">
      <w:pPr>
        <w:widowControl w:val="0"/>
        <w:numPr>
          <w:ilvl w:val="1"/>
          <w:numId w:val="2"/>
        </w:numPr>
        <w:suppressAutoHyphens w:val="0"/>
        <w:autoSpaceDE w:val="0"/>
        <w:autoSpaceDN w:val="0"/>
        <w:adjustRightInd w:val="0"/>
        <w:spacing w:before="120" w:after="120"/>
        <w:ind w:left="567" w:hanging="567"/>
      </w:pPr>
      <w:r w:rsidRPr="00EE70D3">
        <w:t xml:space="preserve">Pasūtītāja pilnvarotā persona Līguma izpildes kontrolei ir Saimniecības un infrastruktūras daļas </w:t>
      </w:r>
      <w:proofErr w:type="spellStart"/>
      <w:r w:rsidRPr="00EE70D3">
        <w:t>energopārvaldnieks</w:t>
      </w:r>
      <w:proofErr w:type="spellEnd"/>
      <w:r w:rsidRPr="00EE70D3">
        <w:t xml:space="preserve"> </w:t>
      </w:r>
      <w:r w:rsidR="006F451C">
        <w:t>Anrijs Zēbergs</w:t>
      </w:r>
      <w:r w:rsidR="005C0A07">
        <w:t>,</w:t>
      </w:r>
      <w:r w:rsidR="006F451C">
        <w:t xml:space="preserve"> t.</w:t>
      </w:r>
      <w:r w:rsidR="005C0A07">
        <w:t xml:space="preserve"> </w:t>
      </w:r>
      <w:r w:rsidR="006F451C">
        <w:t>67996265, e</w:t>
      </w:r>
      <w:r w:rsidR="005C0A07">
        <w:t>-</w:t>
      </w:r>
      <w:r w:rsidR="006F451C">
        <w:t xml:space="preserve">pasts </w:t>
      </w:r>
      <w:hyperlink r:id="rId11" w:history="1">
        <w:r w:rsidR="006F451C" w:rsidRPr="009759B2">
          <w:rPr>
            <w:rStyle w:val="Hyperlink"/>
          </w:rPr>
          <w:t>anrijs.zebergs@adazi.lv</w:t>
        </w:r>
      </w:hyperlink>
      <w:r w:rsidR="006F451C">
        <w:t xml:space="preserve">. </w:t>
      </w:r>
      <w:r w:rsidR="00C80957">
        <w:t>Pilnvarotai</w:t>
      </w:r>
      <w:r w:rsidR="00C80957" w:rsidRPr="00C80957">
        <w:t xml:space="preserve"> personai jāpilda pienākumi, kas noteikti Pasūtītāja iekšējo noteikumu „Dokumentu aprites kārtība Ādažu novada pašvaldībā” </w:t>
      </w:r>
      <w:r w:rsidR="00C80957">
        <w:t>98</w:t>
      </w:r>
      <w:r w:rsidR="00C80957" w:rsidRPr="00C80957">
        <w:t>.punktā, t.sk., nekavējoties jāziņo Pasūtītājam par</w:t>
      </w:r>
      <w:r w:rsidR="00C80957">
        <w:t xml:space="preserve"> Piegādātāja </w:t>
      </w:r>
      <w:r w:rsidR="00C80957" w:rsidRPr="00C80957">
        <w:t xml:space="preserve">pielīgto saistību nepienācīgu izpildi un tai nav tiesību pieņemt lēmumus vai dot </w:t>
      </w:r>
      <w:r w:rsidR="00C80957">
        <w:t>Piegādātājam n</w:t>
      </w:r>
      <w:r w:rsidR="00C80957" w:rsidRPr="00C80957">
        <w:t>orādījumus par Līgumā noteikto termiņu</w:t>
      </w:r>
      <w:r w:rsidR="00C80957">
        <w:t xml:space="preserve"> </w:t>
      </w:r>
      <w:r w:rsidR="00C80957" w:rsidRPr="00C80957">
        <w:t>vai cenas izmaiņām</w:t>
      </w:r>
      <w:r w:rsidR="00C80957">
        <w:t xml:space="preserve">, ja vien tas nav atrunāts Līgumā. </w:t>
      </w:r>
    </w:p>
    <w:p w14:paraId="6B7275F8" w14:textId="5D74F040" w:rsidR="00464D6D" w:rsidRDefault="006F451C" w:rsidP="00464D6D">
      <w:pPr>
        <w:widowControl w:val="0"/>
        <w:numPr>
          <w:ilvl w:val="1"/>
          <w:numId w:val="2"/>
        </w:numPr>
        <w:suppressAutoHyphens w:val="0"/>
        <w:autoSpaceDE w:val="0"/>
        <w:autoSpaceDN w:val="0"/>
        <w:adjustRightInd w:val="0"/>
        <w:spacing w:before="120" w:after="120"/>
        <w:ind w:left="567" w:hanging="567"/>
      </w:pPr>
      <w:r w:rsidRPr="00AA5143">
        <w:t>Piegādātāja</w:t>
      </w:r>
      <w:r w:rsidR="00464D6D" w:rsidRPr="00AA5143">
        <w:t xml:space="preserve"> kontaktpersona Līguma izpildes jautājumos </w:t>
      </w:r>
      <w:r w:rsidR="00AA5143" w:rsidRPr="00AA5143">
        <w:t xml:space="preserve">ir Korporatīvo klientu attiecību daļas vadītāja Evija </w:t>
      </w:r>
      <w:proofErr w:type="spellStart"/>
      <w:r w:rsidR="00AA5143" w:rsidRPr="00AA5143">
        <w:t>Melkerte</w:t>
      </w:r>
      <w:proofErr w:type="spellEnd"/>
      <w:r w:rsidR="00AA5143" w:rsidRPr="00AA5143">
        <w:t xml:space="preserve">, t. 29470004; e-pasts </w:t>
      </w:r>
      <w:hyperlink r:id="rId12" w:history="1">
        <w:r w:rsidR="00AA5143" w:rsidRPr="00D84199">
          <w:rPr>
            <w:rStyle w:val="Hyperlink"/>
          </w:rPr>
          <w:t>evija.melkerte@elektrum.lv</w:t>
        </w:r>
      </w:hyperlink>
      <w:r w:rsidR="00AA5143" w:rsidRPr="00AA5143">
        <w:t>.</w:t>
      </w:r>
    </w:p>
    <w:p w14:paraId="212490B3" w14:textId="4784CEF5" w:rsidR="00464D6D" w:rsidRPr="00EE70D3" w:rsidRDefault="00464D6D" w:rsidP="00464D6D">
      <w:pPr>
        <w:widowControl w:val="0"/>
        <w:numPr>
          <w:ilvl w:val="1"/>
          <w:numId w:val="2"/>
        </w:numPr>
        <w:suppressAutoHyphens w:val="0"/>
        <w:autoSpaceDE w:val="0"/>
        <w:autoSpaceDN w:val="0"/>
        <w:adjustRightInd w:val="0"/>
        <w:spacing w:before="120" w:after="120"/>
        <w:ind w:left="567" w:hanging="567"/>
      </w:pPr>
      <w:smartTag w:uri="schemas-tilde-lv/tildestengine" w:element="veidnes">
        <w:smartTagPr>
          <w:attr w:name="text" w:val="līgums"/>
          <w:attr w:name="baseform" w:val="līgums"/>
          <w:attr w:name="id" w:val="-1"/>
        </w:smartTagPr>
        <w:r w:rsidRPr="00EE70D3">
          <w:t>Līgums</w:t>
        </w:r>
      </w:smartTag>
      <w:r w:rsidRPr="00EE70D3">
        <w:t xml:space="preserve"> sastādīts 2 identiskos eksemplāros uz </w:t>
      </w:r>
      <w:r w:rsidR="005C0A07">
        <w:t>6</w:t>
      </w:r>
      <w:r w:rsidR="005C0A07" w:rsidRPr="00EE70D3">
        <w:t xml:space="preserve"> </w:t>
      </w:r>
      <w:r w:rsidRPr="00EE70D3">
        <w:t>lappusēm, no kuriem viens glabājas pie Pasūtītāja, bet otrs – pie Piegādātāja.</w:t>
      </w:r>
    </w:p>
    <w:p w14:paraId="12CFE232" w14:textId="77777777" w:rsidR="00464D6D" w:rsidRPr="00EE70D3" w:rsidRDefault="00464D6D" w:rsidP="00464D6D">
      <w:pPr>
        <w:widowControl w:val="0"/>
        <w:numPr>
          <w:ilvl w:val="1"/>
          <w:numId w:val="2"/>
        </w:numPr>
        <w:suppressAutoHyphens w:val="0"/>
        <w:autoSpaceDE w:val="0"/>
        <w:autoSpaceDN w:val="0"/>
        <w:adjustRightInd w:val="0"/>
        <w:spacing w:before="120"/>
        <w:ind w:left="567" w:hanging="567"/>
      </w:pPr>
      <w:r w:rsidRPr="00EE70D3">
        <w:t xml:space="preserve">Līgumam ir divi pielikumi: </w:t>
      </w:r>
    </w:p>
    <w:p w14:paraId="4C25505C" w14:textId="4EB07248" w:rsidR="00464D6D" w:rsidRPr="00EE70D3" w:rsidRDefault="00464D6D" w:rsidP="00464D6D">
      <w:pPr>
        <w:widowControl w:val="0"/>
        <w:numPr>
          <w:ilvl w:val="2"/>
          <w:numId w:val="2"/>
        </w:numPr>
        <w:suppressAutoHyphens w:val="0"/>
        <w:autoSpaceDE w:val="0"/>
        <w:autoSpaceDN w:val="0"/>
        <w:adjustRightInd w:val="0"/>
        <w:ind w:left="1276" w:hanging="709"/>
      </w:pPr>
      <w:r w:rsidRPr="00EE70D3">
        <w:t xml:space="preserve">Pielikums Nr.1 - Izpildītāja tehniskais piedāvājums, uz </w:t>
      </w:r>
      <w:r w:rsidR="006F451C">
        <w:t>1</w:t>
      </w:r>
      <w:r w:rsidRPr="00EE70D3">
        <w:t xml:space="preserve"> lp.;</w:t>
      </w:r>
    </w:p>
    <w:p w14:paraId="4E88BC1A" w14:textId="24C288C2" w:rsidR="00464D6D" w:rsidRDefault="00464D6D" w:rsidP="005C1578">
      <w:pPr>
        <w:widowControl w:val="0"/>
        <w:numPr>
          <w:ilvl w:val="2"/>
          <w:numId w:val="2"/>
        </w:numPr>
        <w:suppressAutoHyphens w:val="0"/>
        <w:autoSpaceDE w:val="0"/>
        <w:autoSpaceDN w:val="0"/>
        <w:adjustRightInd w:val="0"/>
        <w:ind w:left="1276" w:hanging="709"/>
      </w:pPr>
      <w:r w:rsidRPr="00EE70D3">
        <w:t xml:space="preserve">Pielikums Nr.2 - Izpildītāja finanšu piedāvājums, uz </w:t>
      </w:r>
      <w:r w:rsidR="006F451C">
        <w:t>1</w:t>
      </w:r>
      <w:r w:rsidRPr="00EE70D3">
        <w:t xml:space="preserve"> lp.</w:t>
      </w:r>
      <w:r w:rsidR="005C1578">
        <w:t>;</w:t>
      </w:r>
      <w:r w:rsidRPr="00EE70D3">
        <w:t xml:space="preserve">  </w:t>
      </w:r>
    </w:p>
    <w:p w14:paraId="371BDC0D" w14:textId="4BE82AE6" w:rsidR="005C1578" w:rsidRPr="00EE70D3" w:rsidRDefault="005C1578" w:rsidP="00464D6D">
      <w:pPr>
        <w:widowControl w:val="0"/>
        <w:numPr>
          <w:ilvl w:val="2"/>
          <w:numId w:val="2"/>
        </w:numPr>
        <w:suppressAutoHyphens w:val="0"/>
        <w:autoSpaceDE w:val="0"/>
        <w:autoSpaceDN w:val="0"/>
        <w:adjustRightInd w:val="0"/>
        <w:spacing w:after="120"/>
        <w:ind w:left="1276" w:hanging="709"/>
      </w:pPr>
      <w:r>
        <w:t xml:space="preserve">Pielikums Nr.3 – pilnvarojums parakstīt līgumu, uz 1 lp.  </w:t>
      </w:r>
    </w:p>
    <w:p w14:paraId="6EA513C0" w14:textId="77777777" w:rsidR="00464D6D" w:rsidRPr="00EE70D3" w:rsidRDefault="00464D6D" w:rsidP="00464D6D">
      <w:pPr>
        <w:widowControl w:val="0"/>
        <w:numPr>
          <w:ilvl w:val="0"/>
          <w:numId w:val="2"/>
        </w:numPr>
        <w:suppressAutoHyphens w:val="0"/>
        <w:autoSpaceDE w:val="0"/>
        <w:autoSpaceDN w:val="0"/>
        <w:adjustRightInd w:val="0"/>
        <w:spacing w:before="120" w:after="120"/>
        <w:jc w:val="center"/>
        <w:rPr>
          <w:b/>
        </w:rPr>
      </w:pPr>
      <w:r w:rsidRPr="00EE70D3">
        <w:rPr>
          <w:b/>
        </w:rPr>
        <w:t>Pušu rekvizīti un paraksti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360"/>
      </w:tblGrid>
      <w:tr w:rsidR="00464D6D" w:rsidRPr="00EE70D3" w14:paraId="1E14C2D0" w14:textId="77777777" w:rsidTr="00AE3282">
        <w:tc>
          <w:tcPr>
            <w:tcW w:w="4786" w:type="dxa"/>
          </w:tcPr>
          <w:p w14:paraId="4DF39294" w14:textId="77777777" w:rsidR="00464D6D" w:rsidRPr="00EE70D3" w:rsidRDefault="00464D6D" w:rsidP="00200CD3">
            <w:pPr>
              <w:jc w:val="center"/>
              <w:rPr>
                <w:b/>
              </w:rPr>
            </w:pPr>
            <w:r w:rsidRPr="00EE70D3">
              <w:rPr>
                <w:b/>
              </w:rPr>
              <w:t>Pasūtītājs:</w:t>
            </w:r>
          </w:p>
        </w:tc>
        <w:tc>
          <w:tcPr>
            <w:tcW w:w="4360" w:type="dxa"/>
          </w:tcPr>
          <w:p w14:paraId="144B0BEA" w14:textId="77777777" w:rsidR="00464D6D" w:rsidRPr="00EE70D3" w:rsidRDefault="00464D6D" w:rsidP="00200CD3">
            <w:pPr>
              <w:jc w:val="center"/>
              <w:rPr>
                <w:b/>
              </w:rPr>
            </w:pPr>
            <w:r w:rsidRPr="00EE70D3">
              <w:rPr>
                <w:b/>
              </w:rPr>
              <w:t>Piegādātājs:</w:t>
            </w:r>
          </w:p>
        </w:tc>
      </w:tr>
      <w:tr w:rsidR="00464D6D" w:rsidRPr="00EE70D3" w14:paraId="71358585" w14:textId="77777777" w:rsidTr="00AE3282">
        <w:tc>
          <w:tcPr>
            <w:tcW w:w="4786" w:type="dxa"/>
          </w:tcPr>
          <w:p w14:paraId="1D825EE3" w14:textId="77777777" w:rsidR="00464D6D" w:rsidRPr="00EE70D3" w:rsidRDefault="00464D6D" w:rsidP="00200CD3">
            <w:pPr>
              <w:tabs>
                <w:tab w:val="num" w:pos="720"/>
              </w:tabs>
              <w:ind w:left="720" w:right="72" w:hanging="720"/>
              <w:jc w:val="center"/>
              <w:rPr>
                <w:b/>
              </w:rPr>
            </w:pPr>
            <w:r w:rsidRPr="00EE70D3">
              <w:rPr>
                <w:b/>
              </w:rPr>
              <w:t>Ādažu novada dome</w:t>
            </w:r>
          </w:p>
          <w:p w14:paraId="2D7EDC38" w14:textId="218D59AF" w:rsidR="00464D6D" w:rsidRPr="00EE70D3" w:rsidRDefault="00464D6D" w:rsidP="00200CD3">
            <w:pPr>
              <w:tabs>
                <w:tab w:val="num" w:pos="720"/>
              </w:tabs>
              <w:ind w:left="720" w:right="72" w:hanging="720"/>
              <w:jc w:val="center"/>
            </w:pPr>
            <w:r w:rsidRPr="00EE70D3">
              <w:t>Reģ.</w:t>
            </w:r>
            <w:r w:rsidR="005C0A07">
              <w:t xml:space="preserve"> </w:t>
            </w:r>
            <w:r w:rsidRPr="00EE70D3">
              <w:t>Nr. 90000048472</w:t>
            </w:r>
          </w:p>
          <w:p w14:paraId="76D31B32" w14:textId="77777777" w:rsidR="00464D6D" w:rsidRPr="00EE70D3" w:rsidRDefault="00464D6D" w:rsidP="00200CD3">
            <w:pPr>
              <w:tabs>
                <w:tab w:val="num" w:pos="720"/>
              </w:tabs>
              <w:ind w:left="720" w:right="72" w:hanging="720"/>
              <w:jc w:val="center"/>
            </w:pPr>
            <w:r w:rsidRPr="00EE70D3">
              <w:lastRenderedPageBreak/>
              <w:t>Adrese: Gaujas iela 33A, Ādaži, LV-2164</w:t>
            </w:r>
          </w:p>
          <w:p w14:paraId="1BC7389D" w14:textId="77777777" w:rsidR="00464D6D" w:rsidRPr="00EE70D3" w:rsidRDefault="00464D6D" w:rsidP="00200CD3">
            <w:pPr>
              <w:tabs>
                <w:tab w:val="num" w:pos="720"/>
              </w:tabs>
              <w:ind w:left="720" w:right="72" w:hanging="720"/>
              <w:jc w:val="center"/>
            </w:pPr>
            <w:r w:rsidRPr="00EE70D3">
              <w:t>Banka: Valsts kase</w:t>
            </w:r>
          </w:p>
          <w:p w14:paraId="44D3A4CB" w14:textId="77777777" w:rsidR="00464D6D" w:rsidRPr="00EE70D3" w:rsidRDefault="00464D6D" w:rsidP="00200CD3">
            <w:pPr>
              <w:tabs>
                <w:tab w:val="num" w:pos="720"/>
              </w:tabs>
              <w:ind w:left="720" w:right="72" w:hanging="720"/>
              <w:jc w:val="center"/>
              <w:rPr>
                <w:lang w:val="de-DE"/>
              </w:rPr>
            </w:pPr>
            <w:r w:rsidRPr="00EE70D3">
              <w:rPr>
                <w:lang w:val="de-DE"/>
              </w:rPr>
              <w:t>Kods: TRELLV22</w:t>
            </w:r>
          </w:p>
          <w:p w14:paraId="0665DDB6" w14:textId="77777777" w:rsidR="00464D6D" w:rsidRPr="00EE70D3" w:rsidRDefault="00464D6D" w:rsidP="00200CD3">
            <w:pPr>
              <w:tabs>
                <w:tab w:val="num" w:pos="720"/>
              </w:tabs>
              <w:ind w:left="720" w:right="72" w:hanging="720"/>
              <w:jc w:val="center"/>
            </w:pPr>
            <w:r w:rsidRPr="00EE70D3">
              <w:t>Konts: LV43TREL9802419010000</w:t>
            </w:r>
          </w:p>
          <w:p w14:paraId="0CF73A0E" w14:textId="77777777" w:rsidR="00464D6D" w:rsidRPr="00EE70D3" w:rsidRDefault="00464D6D" w:rsidP="00200CD3">
            <w:pPr>
              <w:tabs>
                <w:tab w:val="num" w:pos="720"/>
              </w:tabs>
              <w:ind w:right="72"/>
            </w:pPr>
          </w:p>
          <w:p w14:paraId="037AE1A3" w14:textId="77777777" w:rsidR="00464D6D" w:rsidRPr="00EE70D3" w:rsidRDefault="00464D6D" w:rsidP="00200CD3">
            <w:pPr>
              <w:tabs>
                <w:tab w:val="num" w:pos="720"/>
              </w:tabs>
              <w:ind w:right="72"/>
            </w:pPr>
          </w:p>
          <w:p w14:paraId="1C2EE6AF" w14:textId="31A981A7" w:rsidR="00464D6D" w:rsidRPr="00EE70D3" w:rsidRDefault="00464D6D" w:rsidP="00200CD3">
            <w:pPr>
              <w:tabs>
                <w:tab w:val="num" w:pos="720"/>
              </w:tabs>
              <w:ind w:left="720" w:right="-106" w:hanging="720"/>
            </w:pPr>
            <w:r w:rsidRPr="00EE70D3">
              <w:t>_________</w:t>
            </w:r>
            <w:r w:rsidR="009E3979">
              <w:t>_____________________________</w:t>
            </w:r>
          </w:p>
          <w:p w14:paraId="4E549174" w14:textId="77777777" w:rsidR="00464D6D" w:rsidRPr="00EE70D3" w:rsidRDefault="00464D6D" w:rsidP="00200CD3">
            <w:pPr>
              <w:tabs>
                <w:tab w:val="num" w:pos="720"/>
              </w:tabs>
              <w:ind w:left="720" w:right="-109" w:hanging="720"/>
            </w:pPr>
            <w:r w:rsidRPr="00EE70D3">
              <w:t xml:space="preserve">Izpilddirektors </w:t>
            </w:r>
            <w:r w:rsidRPr="00EE70D3">
              <w:rPr>
                <w:b/>
              </w:rPr>
              <w:t>Guntis Porietis</w:t>
            </w:r>
          </w:p>
        </w:tc>
        <w:tc>
          <w:tcPr>
            <w:tcW w:w="4360" w:type="dxa"/>
          </w:tcPr>
          <w:p w14:paraId="1D5CECBA" w14:textId="7347C9CE" w:rsidR="00464D6D" w:rsidRPr="00EE70D3" w:rsidRDefault="006F451C" w:rsidP="00200CD3">
            <w:pPr>
              <w:tabs>
                <w:tab w:val="num" w:pos="720"/>
              </w:tabs>
              <w:ind w:left="720" w:right="72" w:hanging="720"/>
              <w:jc w:val="center"/>
            </w:pPr>
            <w:r w:rsidRPr="00C80957">
              <w:rPr>
                <w:b/>
              </w:rPr>
              <w:lastRenderedPageBreak/>
              <w:t>Akciju sabiedrība “Latvenergo</w:t>
            </w:r>
            <w:r>
              <w:t>”</w:t>
            </w:r>
          </w:p>
          <w:p w14:paraId="10F27064" w14:textId="46B64220" w:rsidR="00464D6D" w:rsidRPr="00EE70D3" w:rsidRDefault="00464D6D" w:rsidP="00200CD3">
            <w:pPr>
              <w:tabs>
                <w:tab w:val="num" w:pos="720"/>
              </w:tabs>
              <w:ind w:left="720" w:right="72" w:hanging="720"/>
              <w:jc w:val="center"/>
            </w:pPr>
            <w:r w:rsidRPr="00EE70D3">
              <w:t>Reģ. Nr.</w:t>
            </w:r>
            <w:r w:rsidR="005C0A07">
              <w:t xml:space="preserve"> </w:t>
            </w:r>
            <w:r w:rsidR="006F451C">
              <w:t>40003032949</w:t>
            </w:r>
          </w:p>
          <w:p w14:paraId="3FCE777B" w14:textId="65B7E229" w:rsidR="00464D6D" w:rsidRPr="00EE70D3" w:rsidRDefault="00464D6D" w:rsidP="00200CD3">
            <w:pPr>
              <w:tabs>
                <w:tab w:val="num" w:pos="29"/>
              </w:tabs>
              <w:ind w:right="72"/>
              <w:jc w:val="center"/>
            </w:pPr>
            <w:r w:rsidRPr="00EE70D3">
              <w:lastRenderedPageBreak/>
              <w:t>Juridiskā adrese:</w:t>
            </w:r>
            <w:r w:rsidR="006F451C">
              <w:t xml:space="preserve"> Pulkveža Brieža iela 12, Rīga LV-1230</w:t>
            </w:r>
          </w:p>
          <w:p w14:paraId="6ECA8AA3" w14:textId="0173780D" w:rsidR="00464D6D" w:rsidRDefault="00464D6D" w:rsidP="00200CD3">
            <w:pPr>
              <w:tabs>
                <w:tab w:val="num" w:pos="720"/>
              </w:tabs>
              <w:ind w:left="720" w:right="72" w:hanging="720"/>
              <w:jc w:val="center"/>
            </w:pPr>
            <w:proofErr w:type="spellStart"/>
            <w:r w:rsidRPr="00EE70D3">
              <w:t>Banka:</w:t>
            </w:r>
            <w:r w:rsidR="006F451C">
              <w:t>AS</w:t>
            </w:r>
            <w:proofErr w:type="spellEnd"/>
            <w:r w:rsidR="006F451C">
              <w:t xml:space="preserve"> “SEB banka”</w:t>
            </w:r>
          </w:p>
          <w:p w14:paraId="7F8D40B1" w14:textId="19A3D54B" w:rsidR="006F451C" w:rsidRPr="00EE70D3" w:rsidRDefault="006F451C" w:rsidP="00200CD3">
            <w:pPr>
              <w:tabs>
                <w:tab w:val="num" w:pos="720"/>
              </w:tabs>
              <w:ind w:left="720" w:right="72" w:hanging="720"/>
              <w:jc w:val="center"/>
            </w:pPr>
            <w:r>
              <w:t>Kods: UNLALV2X</w:t>
            </w:r>
          </w:p>
          <w:p w14:paraId="010B0AC7" w14:textId="385BCE0A" w:rsidR="00464D6D" w:rsidRPr="00EE70D3" w:rsidRDefault="00464D6D" w:rsidP="00200CD3">
            <w:pPr>
              <w:tabs>
                <w:tab w:val="num" w:pos="720"/>
              </w:tabs>
              <w:ind w:left="720" w:right="72" w:hanging="720"/>
              <w:jc w:val="center"/>
              <w:rPr>
                <w:lang w:eastAsia="en-US"/>
              </w:rPr>
            </w:pPr>
            <w:r w:rsidRPr="00EE70D3">
              <w:t>Konts:</w:t>
            </w:r>
            <w:r w:rsidR="006F451C">
              <w:t>LV24UNLA0001000221208</w:t>
            </w:r>
          </w:p>
          <w:p w14:paraId="1FA9206E" w14:textId="63759A07" w:rsidR="00464D6D" w:rsidRPr="00EE70D3" w:rsidRDefault="00464D6D" w:rsidP="00200CD3">
            <w:pPr>
              <w:jc w:val="center"/>
              <w:rPr>
                <w:lang w:eastAsia="en-US"/>
              </w:rPr>
            </w:pPr>
            <w:r w:rsidRPr="00EE70D3">
              <w:rPr>
                <w:lang w:eastAsia="en-US"/>
              </w:rPr>
              <w:t>e-pasts</w:t>
            </w:r>
            <w:r w:rsidR="006F451C">
              <w:rPr>
                <w:lang w:eastAsia="en-US"/>
              </w:rPr>
              <w:t xml:space="preserve"> </w:t>
            </w:r>
            <w:hyperlink r:id="rId13" w:history="1">
              <w:r w:rsidR="006F451C" w:rsidRPr="009759B2">
                <w:rPr>
                  <w:rStyle w:val="Hyperlink"/>
                  <w:lang w:eastAsia="en-US"/>
                </w:rPr>
                <w:t>info@latvenergo.lv</w:t>
              </w:r>
            </w:hyperlink>
            <w:r w:rsidR="006F451C">
              <w:rPr>
                <w:lang w:eastAsia="en-US"/>
              </w:rPr>
              <w:t xml:space="preserve"> </w:t>
            </w:r>
          </w:p>
          <w:p w14:paraId="364DCEEA" w14:textId="77777777" w:rsidR="00464D6D" w:rsidRPr="00EE70D3" w:rsidRDefault="00464D6D" w:rsidP="00200CD3">
            <w:pPr>
              <w:rPr>
                <w:lang w:eastAsia="en-US"/>
              </w:rPr>
            </w:pPr>
          </w:p>
          <w:p w14:paraId="4852EB79" w14:textId="4EDFB94F" w:rsidR="000F0AC4" w:rsidRDefault="000F0AC4" w:rsidP="00200CD3">
            <w:pPr>
              <w:jc w:val="center"/>
              <w:rPr>
                <w:lang w:eastAsia="en-US"/>
              </w:rPr>
            </w:pPr>
            <w:r>
              <w:rPr>
                <w:lang w:eastAsia="en-US"/>
              </w:rPr>
              <w:t>________</w:t>
            </w:r>
            <w:r w:rsidR="009E3979">
              <w:rPr>
                <w:lang w:eastAsia="en-US"/>
              </w:rPr>
              <w:t>____________</w:t>
            </w:r>
            <w:r>
              <w:rPr>
                <w:lang w:eastAsia="en-US"/>
              </w:rPr>
              <w:t xml:space="preserve">_____________  </w:t>
            </w:r>
          </w:p>
          <w:p w14:paraId="2CE11881" w14:textId="77777777" w:rsidR="000F0AC4" w:rsidRDefault="000F0AC4" w:rsidP="00200CD3">
            <w:pPr>
              <w:jc w:val="center"/>
              <w:rPr>
                <w:lang w:eastAsia="en-US"/>
              </w:rPr>
            </w:pPr>
            <w:r w:rsidRPr="000F0AC4">
              <w:rPr>
                <w:lang w:eastAsia="en-US"/>
              </w:rPr>
              <w:t xml:space="preserve">Korporatīvo klientu attiecību vadītājs Didzis Zālītis </w:t>
            </w:r>
          </w:p>
          <w:p w14:paraId="0C74635B" w14:textId="77777777" w:rsidR="000F0AC4" w:rsidRDefault="000F0AC4" w:rsidP="00200CD3">
            <w:pPr>
              <w:jc w:val="center"/>
              <w:rPr>
                <w:lang w:eastAsia="en-US"/>
              </w:rPr>
            </w:pPr>
          </w:p>
          <w:p w14:paraId="6E98EACF" w14:textId="77D4FD23" w:rsidR="000F0AC4" w:rsidRDefault="000F0AC4" w:rsidP="00200CD3">
            <w:pPr>
              <w:jc w:val="center"/>
              <w:rPr>
                <w:lang w:eastAsia="en-US"/>
              </w:rPr>
            </w:pPr>
            <w:r>
              <w:rPr>
                <w:lang w:eastAsia="en-US"/>
              </w:rPr>
              <w:t>_________</w:t>
            </w:r>
            <w:r w:rsidR="009E3979">
              <w:rPr>
                <w:lang w:eastAsia="en-US"/>
              </w:rPr>
              <w:t>________</w:t>
            </w:r>
            <w:r>
              <w:rPr>
                <w:lang w:eastAsia="en-US"/>
              </w:rPr>
              <w:t>_______________</w:t>
            </w:r>
          </w:p>
          <w:p w14:paraId="5D6E72C3" w14:textId="19EDA57D" w:rsidR="00464D6D" w:rsidRPr="00EE70D3" w:rsidRDefault="000F0AC4" w:rsidP="000F0AC4">
            <w:pPr>
              <w:jc w:val="center"/>
              <w:rPr>
                <w:b/>
              </w:rPr>
            </w:pPr>
            <w:r w:rsidRPr="000F0AC4">
              <w:rPr>
                <w:lang w:eastAsia="en-US"/>
              </w:rPr>
              <w:t xml:space="preserve"> Korporatīvo klientu att</w:t>
            </w:r>
            <w:r w:rsidR="009E3979">
              <w:rPr>
                <w:lang w:eastAsia="en-US"/>
              </w:rPr>
              <w:t xml:space="preserve">iecību vadītāja Evija </w:t>
            </w:r>
            <w:proofErr w:type="spellStart"/>
            <w:r w:rsidR="009E3979">
              <w:rPr>
                <w:lang w:eastAsia="en-US"/>
              </w:rPr>
              <w:t>Melkerte</w:t>
            </w:r>
            <w:proofErr w:type="spellEnd"/>
          </w:p>
        </w:tc>
      </w:tr>
    </w:tbl>
    <w:p w14:paraId="2D5021A0" w14:textId="77777777" w:rsidR="00464D6D" w:rsidRDefault="00464D6D" w:rsidP="00464D6D">
      <w:pPr>
        <w:pStyle w:val="ListParagraph"/>
        <w:spacing w:after="120"/>
        <w:ind w:hanging="720"/>
      </w:pPr>
    </w:p>
    <w:p w14:paraId="7626B696" w14:textId="77777777" w:rsidR="00464D6D" w:rsidRPr="000537F9" w:rsidRDefault="00464D6D" w:rsidP="00464D6D">
      <w:pPr>
        <w:rPr>
          <w:rFonts w:eastAsia="Times New Roman"/>
          <w:lang w:eastAsia="en-US"/>
        </w:rPr>
      </w:pPr>
    </w:p>
    <w:p w14:paraId="1BAF8DFB" w14:textId="77777777" w:rsidR="002171AA" w:rsidRDefault="002171AA"/>
    <w:sectPr w:rsidR="002171AA" w:rsidSect="00FE3C9B">
      <w:footerReference w:type="default" r:id="rId14"/>
      <w:pgSz w:w="11906" w:h="16838"/>
      <w:pgMar w:top="1440" w:right="1416"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18A1D" w14:textId="77777777" w:rsidR="0066159F" w:rsidRDefault="0066159F">
      <w:r>
        <w:separator/>
      </w:r>
    </w:p>
  </w:endnote>
  <w:endnote w:type="continuationSeparator" w:id="0">
    <w:p w14:paraId="772B1AE3" w14:textId="77777777" w:rsidR="0066159F" w:rsidRDefault="0066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TT7E6o00">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6341377"/>
      <w:docPartObj>
        <w:docPartGallery w:val="Page Numbers (Bottom of Page)"/>
        <w:docPartUnique/>
      </w:docPartObj>
    </w:sdtPr>
    <w:sdtEndPr/>
    <w:sdtContent>
      <w:p w14:paraId="463792ED" w14:textId="77777777" w:rsidR="00627DF1" w:rsidRDefault="00464D6D">
        <w:pPr>
          <w:pStyle w:val="Footer"/>
          <w:jc w:val="center"/>
        </w:pPr>
        <w:r>
          <w:fldChar w:fldCharType="begin"/>
        </w:r>
        <w:r>
          <w:instrText xml:space="preserve"> PAGE   \* MERGEFORMAT </w:instrText>
        </w:r>
        <w:r>
          <w:fldChar w:fldCharType="separate"/>
        </w:r>
        <w:r w:rsidR="00AA5143">
          <w:rPr>
            <w:noProof/>
          </w:rPr>
          <w:t>4</w:t>
        </w:r>
        <w:r>
          <w:rPr>
            <w:noProof/>
          </w:rPr>
          <w:fldChar w:fldCharType="end"/>
        </w:r>
      </w:p>
    </w:sdtContent>
  </w:sdt>
  <w:p w14:paraId="5D0C6071" w14:textId="77777777" w:rsidR="00627DF1" w:rsidRDefault="00661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CC947" w14:textId="77777777" w:rsidR="0066159F" w:rsidRDefault="0066159F">
      <w:r>
        <w:separator/>
      </w:r>
    </w:p>
  </w:footnote>
  <w:footnote w:type="continuationSeparator" w:id="0">
    <w:p w14:paraId="58C21A7C" w14:textId="77777777" w:rsidR="0066159F" w:rsidRDefault="00661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2B2E"/>
    <w:multiLevelType w:val="multilevel"/>
    <w:tmpl w:val="809C40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C44709E"/>
    <w:multiLevelType w:val="multilevel"/>
    <w:tmpl w:val="69C4F45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D6D"/>
    <w:rsid w:val="0005792D"/>
    <w:rsid w:val="000E75B8"/>
    <w:rsid w:val="000F0AC4"/>
    <w:rsid w:val="00157275"/>
    <w:rsid w:val="00183B09"/>
    <w:rsid w:val="00187375"/>
    <w:rsid w:val="001B3A2B"/>
    <w:rsid w:val="002171AA"/>
    <w:rsid w:val="00240BB9"/>
    <w:rsid w:val="00260995"/>
    <w:rsid w:val="002F04CA"/>
    <w:rsid w:val="00367C93"/>
    <w:rsid w:val="00376CFD"/>
    <w:rsid w:val="004037D4"/>
    <w:rsid w:val="00464D6D"/>
    <w:rsid w:val="004E5D52"/>
    <w:rsid w:val="005C0A07"/>
    <w:rsid w:val="005C1578"/>
    <w:rsid w:val="006431E2"/>
    <w:rsid w:val="00656DFF"/>
    <w:rsid w:val="0066159F"/>
    <w:rsid w:val="006F451C"/>
    <w:rsid w:val="007755D6"/>
    <w:rsid w:val="007A509E"/>
    <w:rsid w:val="0080371B"/>
    <w:rsid w:val="0086247C"/>
    <w:rsid w:val="009B1857"/>
    <w:rsid w:val="009E3979"/>
    <w:rsid w:val="00A8248E"/>
    <w:rsid w:val="00A910CD"/>
    <w:rsid w:val="00AA5143"/>
    <w:rsid w:val="00AB00D5"/>
    <w:rsid w:val="00AD08C9"/>
    <w:rsid w:val="00AE3282"/>
    <w:rsid w:val="00C24B15"/>
    <w:rsid w:val="00C53DB2"/>
    <w:rsid w:val="00C66D57"/>
    <w:rsid w:val="00C80957"/>
    <w:rsid w:val="00C91A36"/>
    <w:rsid w:val="00CE58C6"/>
    <w:rsid w:val="00D72A54"/>
    <w:rsid w:val="00D824BD"/>
    <w:rsid w:val="00DD06E2"/>
    <w:rsid w:val="00F25AA3"/>
    <w:rsid w:val="00FC6068"/>
    <w:rsid w:val="00FE3FFA"/>
    <w:rsid w:val="00FF28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2D6A08F"/>
  <w15:docId w15:val="{AE000029-1354-4376-9EC1-B7B1B5B46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4D6D"/>
    <w:pPr>
      <w:suppressAutoHyphens/>
      <w:spacing w:after="0"/>
    </w:pPr>
    <w:rPr>
      <w:rFonts w:eastAsia="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64D6D"/>
    <w:rPr>
      <w:color w:val="0000FF"/>
      <w:u w:val="single"/>
    </w:rPr>
  </w:style>
  <w:style w:type="character" w:customStyle="1" w:styleId="FooterChar">
    <w:name w:val="Footer Char"/>
    <w:basedOn w:val="DefaultParagraphFont"/>
    <w:link w:val="Footer"/>
    <w:uiPriority w:val="99"/>
    <w:rsid w:val="00464D6D"/>
    <w:rPr>
      <w:rFonts w:ascii="Calibri" w:eastAsia="Times New Roman" w:hAnsi="Calibri"/>
      <w:lang w:eastAsia="lv-LV"/>
    </w:rPr>
  </w:style>
  <w:style w:type="paragraph" w:styleId="Footer">
    <w:name w:val="footer"/>
    <w:basedOn w:val="Normal"/>
    <w:link w:val="FooterChar"/>
    <w:uiPriority w:val="99"/>
    <w:unhideWhenUsed/>
    <w:rsid w:val="00464D6D"/>
    <w:pPr>
      <w:tabs>
        <w:tab w:val="center" w:pos="4153"/>
        <w:tab w:val="right" w:pos="8306"/>
      </w:tabs>
      <w:suppressAutoHyphens w:val="0"/>
      <w:jc w:val="left"/>
    </w:pPr>
    <w:rPr>
      <w:rFonts w:ascii="Calibri" w:eastAsia="Times New Roman" w:hAnsi="Calibri"/>
      <w:lang w:eastAsia="lv-LV"/>
    </w:rPr>
  </w:style>
  <w:style w:type="character" w:customStyle="1" w:styleId="FooterChar1">
    <w:name w:val="Footer Char1"/>
    <w:basedOn w:val="DefaultParagraphFont"/>
    <w:uiPriority w:val="99"/>
    <w:semiHidden/>
    <w:rsid w:val="00464D6D"/>
    <w:rPr>
      <w:rFonts w:eastAsia="Calibri"/>
      <w:lang w:eastAsia="ar-SA"/>
    </w:rPr>
  </w:style>
  <w:style w:type="character" w:customStyle="1" w:styleId="BodyTextChar">
    <w:name w:val="Body Text Char"/>
    <w:basedOn w:val="DefaultParagraphFont"/>
    <w:link w:val="BodyText"/>
    <w:rsid w:val="00464D6D"/>
    <w:rPr>
      <w:rFonts w:ascii="Arial Narrow" w:eastAsia="Times New Roman" w:hAnsi="Arial Narrow"/>
      <w:b/>
      <w:bCs/>
    </w:rPr>
  </w:style>
  <w:style w:type="paragraph" w:styleId="BodyText">
    <w:name w:val="Body Text"/>
    <w:basedOn w:val="Normal"/>
    <w:link w:val="BodyTextChar"/>
    <w:unhideWhenUsed/>
    <w:rsid w:val="00464D6D"/>
    <w:pPr>
      <w:suppressAutoHyphens w:val="0"/>
    </w:pPr>
    <w:rPr>
      <w:rFonts w:ascii="Arial Narrow" w:eastAsia="Times New Roman" w:hAnsi="Arial Narrow"/>
      <w:b/>
      <w:bCs/>
      <w:lang w:eastAsia="en-US"/>
    </w:rPr>
  </w:style>
  <w:style w:type="character" w:customStyle="1" w:styleId="BodyTextChar1">
    <w:name w:val="Body Text Char1"/>
    <w:basedOn w:val="DefaultParagraphFont"/>
    <w:uiPriority w:val="99"/>
    <w:semiHidden/>
    <w:rsid w:val="00464D6D"/>
    <w:rPr>
      <w:rFonts w:eastAsia="Calibri"/>
      <w:lang w:eastAsia="ar-SA"/>
    </w:rPr>
  </w:style>
  <w:style w:type="character" w:customStyle="1" w:styleId="ListParagraphChar">
    <w:name w:val="List Paragraph Char"/>
    <w:aliases w:val="Strip Char,H&amp;P List Paragraph Char,2 Char,Syle 1 Char,Colorful List - Accent 12 Char,Normal bullet 2 Char,Bullet list Char"/>
    <w:link w:val="ListParagraph"/>
    <w:uiPriority w:val="99"/>
    <w:qFormat/>
    <w:locked/>
    <w:rsid w:val="00464D6D"/>
    <w:rPr>
      <w:lang w:eastAsia="ar-SA"/>
    </w:rPr>
  </w:style>
  <w:style w:type="paragraph" w:styleId="ListParagraph">
    <w:name w:val="List Paragraph"/>
    <w:aliases w:val="Strip,H&amp;P List Paragraph,2,Syle 1,Colorful List - Accent 12,Normal bullet 2,Bullet list"/>
    <w:basedOn w:val="Normal"/>
    <w:link w:val="ListParagraphChar"/>
    <w:uiPriority w:val="99"/>
    <w:qFormat/>
    <w:rsid w:val="00464D6D"/>
    <w:pPr>
      <w:ind w:left="720"/>
    </w:pPr>
    <w:rPr>
      <w:rFonts w:eastAsiaTheme="minorHAnsi"/>
    </w:rPr>
  </w:style>
  <w:style w:type="character" w:customStyle="1" w:styleId="UnresolvedMention1">
    <w:name w:val="Unresolved Mention1"/>
    <w:basedOn w:val="DefaultParagraphFont"/>
    <w:uiPriority w:val="99"/>
    <w:semiHidden/>
    <w:unhideWhenUsed/>
    <w:rsid w:val="006F451C"/>
    <w:rPr>
      <w:color w:val="605E5C"/>
      <w:shd w:val="clear" w:color="auto" w:fill="E1DFDD"/>
    </w:rPr>
  </w:style>
  <w:style w:type="paragraph" w:styleId="BalloonText">
    <w:name w:val="Balloon Text"/>
    <w:basedOn w:val="Normal"/>
    <w:link w:val="BalloonTextChar"/>
    <w:uiPriority w:val="99"/>
    <w:semiHidden/>
    <w:unhideWhenUsed/>
    <w:rsid w:val="00C91A36"/>
    <w:rPr>
      <w:rFonts w:ascii="Tahoma" w:hAnsi="Tahoma" w:cs="Tahoma"/>
      <w:sz w:val="16"/>
      <w:szCs w:val="16"/>
    </w:rPr>
  </w:style>
  <w:style w:type="character" w:customStyle="1" w:styleId="BalloonTextChar">
    <w:name w:val="Balloon Text Char"/>
    <w:basedOn w:val="DefaultParagraphFont"/>
    <w:link w:val="BalloonText"/>
    <w:uiPriority w:val="99"/>
    <w:semiHidden/>
    <w:rsid w:val="00C91A36"/>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sadalestikls.lv" TargetMode="External"/><Relationship Id="rId13" Type="http://schemas.openxmlformats.org/officeDocument/2006/relationships/hyperlink" Target="mailto:info@latvenergo.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ija.melkerte@elektrum.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rijs.zebergs@adazi.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me@adazi.lv" TargetMode="External"/><Relationship Id="rId4" Type="http://schemas.openxmlformats.org/officeDocument/2006/relationships/settings" Target="settings.xml"/><Relationship Id="rId9" Type="http://schemas.openxmlformats.org/officeDocument/2006/relationships/hyperlink" Target="mailto:rekins@elektrum.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47E21-843A-4DBB-BCD4-480A71C4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10288</Words>
  <Characters>5865</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16121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Kāpa</dc:creator>
  <cp:lastModifiedBy>Everita Kāpa</cp:lastModifiedBy>
  <cp:revision>4</cp:revision>
  <cp:lastPrinted>2018-07-26T06:36:00Z</cp:lastPrinted>
  <dcterms:created xsi:type="dcterms:W3CDTF">2018-07-26T06:33:00Z</dcterms:created>
  <dcterms:modified xsi:type="dcterms:W3CDTF">2018-07-26T07:00:00Z</dcterms:modified>
</cp:coreProperties>
</file>