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A" w:rsidRPr="006618A5" w:rsidRDefault="00016DFA" w:rsidP="00016DFA">
      <w:pPr>
        <w:jc w:val="center"/>
        <w:rPr>
          <w:b/>
        </w:rPr>
      </w:pPr>
    </w:p>
    <w:p w:rsidR="00016DFA" w:rsidRPr="006618A5" w:rsidRDefault="00016DFA" w:rsidP="00016DFA">
      <w:pPr>
        <w:jc w:val="center"/>
      </w:pPr>
      <w:r w:rsidRPr="006618A5">
        <w:rPr>
          <w:noProof/>
          <w:lang w:eastAsia="lv-LV"/>
        </w:rPr>
        <w:drawing>
          <wp:inline distT="0" distB="0" distL="0" distR="0" wp14:anchorId="11155499" wp14:editId="7A5B1D0A">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016DFA" w:rsidRPr="006618A5" w:rsidRDefault="00016DFA" w:rsidP="00016DFA"/>
    <w:p w:rsidR="00016DFA" w:rsidRPr="006618A5" w:rsidRDefault="00016DFA" w:rsidP="00016DFA"/>
    <w:p w:rsidR="00016DFA" w:rsidRPr="006618A5" w:rsidRDefault="00016DFA" w:rsidP="00016DFA">
      <w:pPr>
        <w:shd w:val="clear" w:color="auto" w:fill="C2D69B"/>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sz w:val="28"/>
        </w:rPr>
      </w:pPr>
      <w:r w:rsidRPr="006618A5">
        <w:rPr>
          <w:b/>
          <w:sz w:val="28"/>
        </w:rPr>
        <w:t>IEPIRKUMA</w:t>
      </w:r>
    </w:p>
    <w:p w:rsidR="00016DFA" w:rsidRPr="006618A5" w:rsidRDefault="00016DFA" w:rsidP="00D77981">
      <w:pPr>
        <w:shd w:val="clear" w:color="auto" w:fill="C2D69B"/>
        <w:tabs>
          <w:tab w:val="left" w:pos="5025"/>
        </w:tabs>
        <w:rPr>
          <w:sz w:val="28"/>
        </w:rPr>
      </w:pPr>
    </w:p>
    <w:p w:rsidR="00016DFA" w:rsidRPr="006618A5" w:rsidRDefault="00016DFA" w:rsidP="00016DFA">
      <w:pPr>
        <w:shd w:val="clear" w:color="auto" w:fill="C2D69B" w:themeFill="accent3" w:themeFillTint="99"/>
        <w:rPr>
          <w:sz w:val="36"/>
          <w:szCs w:val="36"/>
        </w:rPr>
      </w:pPr>
    </w:p>
    <w:p w:rsidR="00016DFA" w:rsidRPr="002342E7" w:rsidRDefault="00016DFA" w:rsidP="002342E7">
      <w:pPr>
        <w:shd w:val="clear" w:color="auto" w:fill="C2D69B" w:themeFill="accent3" w:themeFillTint="99"/>
        <w:jc w:val="center"/>
        <w:rPr>
          <w:b/>
          <w:sz w:val="28"/>
          <w:szCs w:val="28"/>
        </w:rPr>
      </w:pPr>
      <w:r w:rsidRPr="009615E7">
        <w:rPr>
          <w:b/>
          <w:sz w:val="28"/>
          <w:szCs w:val="28"/>
        </w:rPr>
        <w:t>„</w:t>
      </w:r>
      <w:r w:rsidR="00DA031F">
        <w:rPr>
          <w:b/>
          <w:sz w:val="28"/>
          <w:szCs w:val="28"/>
        </w:rPr>
        <w:t>Kalcija  hlorīda iegāde ceļu pretputekļu apstrādei</w:t>
      </w:r>
      <w:r w:rsidRPr="009615E7">
        <w:rPr>
          <w:b/>
          <w:sz w:val="28"/>
          <w:szCs w:val="28"/>
        </w:rPr>
        <w:t>”</w:t>
      </w:r>
    </w:p>
    <w:p w:rsidR="00016DFA" w:rsidRPr="006618A5" w:rsidRDefault="0001194D" w:rsidP="0001194D">
      <w:pPr>
        <w:shd w:val="clear" w:color="auto" w:fill="C2D69B" w:themeFill="accent3" w:themeFillTint="99"/>
        <w:rPr>
          <w:sz w:val="28"/>
        </w:rPr>
      </w:pPr>
      <w:r>
        <w:rPr>
          <w:sz w:val="28"/>
        </w:rPr>
        <w:tab/>
      </w: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jc w:val="center"/>
        <w:rPr>
          <w:b/>
          <w:sz w:val="28"/>
        </w:rPr>
      </w:pPr>
      <w:r w:rsidRPr="006618A5">
        <w:rPr>
          <w:b/>
          <w:sz w:val="28"/>
        </w:rPr>
        <w:t>NOLIKUMS</w:t>
      </w:r>
    </w:p>
    <w:p w:rsidR="00016DFA" w:rsidRPr="006618A5" w:rsidRDefault="00016DFA" w:rsidP="00016DFA">
      <w:pPr>
        <w:shd w:val="clear" w:color="auto" w:fill="C2D69B" w:themeFill="accent3" w:themeFillTint="99"/>
        <w:jc w:val="center"/>
        <w:rPr>
          <w:b/>
          <w:sz w:val="28"/>
        </w:rPr>
      </w:pPr>
    </w:p>
    <w:p w:rsidR="00016DFA" w:rsidRPr="006618A5" w:rsidRDefault="00016DFA" w:rsidP="00016DFA">
      <w:pPr>
        <w:shd w:val="clear" w:color="auto" w:fill="C2D69B" w:themeFill="accent3" w:themeFillTint="99"/>
        <w:jc w:val="center"/>
        <w:rPr>
          <w:b/>
          <w:sz w:val="28"/>
        </w:rPr>
      </w:pPr>
    </w:p>
    <w:p w:rsidR="00016DFA" w:rsidRPr="006618A5" w:rsidRDefault="00DA031F" w:rsidP="00016DFA">
      <w:pPr>
        <w:shd w:val="clear" w:color="auto" w:fill="C2D69B" w:themeFill="accent3" w:themeFillTint="99"/>
        <w:jc w:val="center"/>
        <w:rPr>
          <w:b/>
        </w:rPr>
      </w:pPr>
      <w:r>
        <w:rPr>
          <w:b/>
          <w:sz w:val="28"/>
        </w:rPr>
        <w:t>Identifikācijas Nr.: ĀND 2018/54</w:t>
      </w: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Default="00016DFA" w:rsidP="00A87BE9">
      <w:pPr>
        <w:shd w:val="clear" w:color="auto" w:fill="C2D69B"/>
        <w:rPr>
          <w:b/>
        </w:rPr>
      </w:pPr>
    </w:p>
    <w:p w:rsidR="00A87BE9" w:rsidRPr="006618A5" w:rsidRDefault="00A87BE9" w:rsidP="00A87BE9">
      <w:pPr>
        <w:shd w:val="clear" w:color="auto" w:fill="C2D69B"/>
        <w:rPr>
          <w:b/>
        </w:rPr>
      </w:pPr>
    </w:p>
    <w:p w:rsidR="00016DFA" w:rsidRPr="006618A5" w:rsidRDefault="00016DFA" w:rsidP="00016DFA">
      <w:pPr>
        <w:shd w:val="clear" w:color="auto" w:fill="C2D69B"/>
        <w:jc w:val="center"/>
        <w:rPr>
          <w:b/>
        </w:rPr>
      </w:pPr>
      <w:r w:rsidRPr="006618A5">
        <w:rPr>
          <w:b/>
        </w:rPr>
        <w:t>Ādažos</w:t>
      </w:r>
    </w:p>
    <w:p w:rsidR="00016DFA" w:rsidRPr="006618A5" w:rsidRDefault="00A87BE9" w:rsidP="00016DFA">
      <w:pPr>
        <w:shd w:val="clear" w:color="auto" w:fill="C2D69B"/>
        <w:jc w:val="center"/>
      </w:pPr>
      <w:r>
        <w:rPr>
          <w:b/>
        </w:rPr>
        <w:t>2018</w:t>
      </w:r>
    </w:p>
    <w:p w:rsidR="00016DFA" w:rsidRPr="006618A5" w:rsidRDefault="00016DFA" w:rsidP="00016DFA"/>
    <w:p w:rsidR="00016DFA" w:rsidRDefault="00016DFA" w:rsidP="00016DFA"/>
    <w:p w:rsidR="000B3EFC" w:rsidRDefault="000B3EFC" w:rsidP="00016DFA"/>
    <w:p w:rsidR="00A94508" w:rsidRPr="006618A5" w:rsidRDefault="00A94508" w:rsidP="00016DFA"/>
    <w:p w:rsidR="003614FF" w:rsidRDefault="003614FF" w:rsidP="003614FF"/>
    <w:p w:rsidR="003614FF" w:rsidRDefault="003614FF" w:rsidP="003614FF">
      <w:pPr>
        <w:numPr>
          <w:ilvl w:val="0"/>
          <w:numId w:val="15"/>
        </w:numPr>
        <w:shd w:val="clear" w:color="auto" w:fill="C2D69B" w:themeFill="accent3" w:themeFillTint="99"/>
        <w:spacing w:before="120" w:after="120"/>
        <w:ind w:left="357" w:hanging="357"/>
        <w:jc w:val="center"/>
        <w:rPr>
          <w:b/>
        </w:rPr>
      </w:pPr>
      <w:r>
        <w:rPr>
          <w:b/>
        </w:rPr>
        <w:lastRenderedPageBreak/>
        <w:t>Vispārējā informācija</w:t>
      </w:r>
    </w:p>
    <w:p w:rsidR="003614FF" w:rsidRDefault="003614FF" w:rsidP="003614FF">
      <w:pPr>
        <w:numPr>
          <w:ilvl w:val="1"/>
          <w:numId w:val="15"/>
        </w:numPr>
        <w:spacing w:before="120" w:after="120"/>
        <w:ind w:left="567" w:hanging="567"/>
      </w:pPr>
      <w:r w:rsidRPr="007722C5">
        <w:rPr>
          <w:b/>
        </w:rPr>
        <w:t xml:space="preserve">Iepirkuma identifikācijas numurs: </w:t>
      </w:r>
      <w:r w:rsidR="00DA031F">
        <w:t>ĀND 2018/54</w:t>
      </w:r>
    </w:p>
    <w:p w:rsidR="003614FF" w:rsidRDefault="003614FF" w:rsidP="003614FF">
      <w:pPr>
        <w:numPr>
          <w:ilvl w:val="1"/>
          <w:numId w:val="15"/>
        </w:numPr>
        <w:spacing w:before="120" w:after="120"/>
        <w:ind w:left="567" w:hanging="567"/>
      </w:pPr>
      <w:r w:rsidRPr="007722C5">
        <w:rPr>
          <w:b/>
        </w:rPr>
        <w:t xml:space="preserve">Pasūtītājs: </w:t>
      </w:r>
      <w:r>
        <w:t>Ādažu novada dome</w:t>
      </w:r>
    </w:p>
    <w:p w:rsidR="003614FF" w:rsidRDefault="003614FF" w:rsidP="003614FF">
      <w:pPr>
        <w:numPr>
          <w:ilvl w:val="1"/>
          <w:numId w:val="15"/>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614FF" w:rsidTr="00953DB5">
        <w:tc>
          <w:tcPr>
            <w:tcW w:w="1950" w:type="dxa"/>
            <w:hideMark/>
          </w:tcPr>
          <w:p w:rsidR="003614FF" w:rsidRDefault="003614FF" w:rsidP="00953DB5">
            <w:pPr>
              <w:ind w:left="-108"/>
            </w:pPr>
            <w:r>
              <w:t>Adrese:</w:t>
            </w:r>
          </w:p>
        </w:tc>
        <w:tc>
          <w:tcPr>
            <w:tcW w:w="5103" w:type="dxa"/>
            <w:hideMark/>
          </w:tcPr>
          <w:p w:rsidR="003614FF" w:rsidRDefault="003614FF" w:rsidP="00953DB5">
            <w:r>
              <w:t>Gaujas iela 33A, Ādaži, Ādažu novads, LV-2164</w:t>
            </w:r>
          </w:p>
        </w:tc>
      </w:tr>
      <w:tr w:rsidR="003614FF" w:rsidTr="00953DB5">
        <w:tc>
          <w:tcPr>
            <w:tcW w:w="1950" w:type="dxa"/>
            <w:hideMark/>
          </w:tcPr>
          <w:p w:rsidR="003614FF" w:rsidRDefault="003614FF" w:rsidP="00953DB5">
            <w:pPr>
              <w:ind w:left="-108"/>
            </w:pPr>
            <w:r>
              <w:t>Reģistrācijas Nr.</w:t>
            </w:r>
          </w:p>
        </w:tc>
        <w:tc>
          <w:tcPr>
            <w:tcW w:w="5103" w:type="dxa"/>
            <w:hideMark/>
          </w:tcPr>
          <w:p w:rsidR="003614FF" w:rsidRDefault="003614FF" w:rsidP="00953DB5">
            <w:r>
              <w:t>90000048472</w:t>
            </w:r>
          </w:p>
        </w:tc>
      </w:tr>
      <w:tr w:rsidR="003614FF" w:rsidTr="00953DB5">
        <w:tc>
          <w:tcPr>
            <w:tcW w:w="1950" w:type="dxa"/>
            <w:hideMark/>
          </w:tcPr>
          <w:p w:rsidR="003614FF" w:rsidRDefault="003614FF" w:rsidP="00953DB5">
            <w:pPr>
              <w:ind w:left="-108"/>
            </w:pPr>
            <w:r>
              <w:t>Tālrunis:</w:t>
            </w:r>
          </w:p>
        </w:tc>
        <w:tc>
          <w:tcPr>
            <w:tcW w:w="5103" w:type="dxa"/>
            <w:hideMark/>
          </w:tcPr>
          <w:p w:rsidR="003614FF" w:rsidRDefault="003614FF" w:rsidP="00953DB5">
            <w:r>
              <w:t>67997350</w:t>
            </w:r>
          </w:p>
        </w:tc>
      </w:tr>
      <w:tr w:rsidR="003614FF" w:rsidTr="00953DB5">
        <w:tc>
          <w:tcPr>
            <w:tcW w:w="1950" w:type="dxa"/>
            <w:hideMark/>
          </w:tcPr>
          <w:p w:rsidR="003614FF" w:rsidRDefault="003614FF" w:rsidP="00953DB5">
            <w:pPr>
              <w:ind w:left="-108"/>
            </w:pPr>
            <w:r>
              <w:t>Fakss:</w:t>
            </w:r>
          </w:p>
        </w:tc>
        <w:tc>
          <w:tcPr>
            <w:tcW w:w="5103" w:type="dxa"/>
            <w:hideMark/>
          </w:tcPr>
          <w:p w:rsidR="003614FF" w:rsidRDefault="003614FF" w:rsidP="00953DB5">
            <w:r>
              <w:t>67997828</w:t>
            </w:r>
          </w:p>
        </w:tc>
      </w:tr>
    </w:tbl>
    <w:p w:rsidR="003614FF" w:rsidRDefault="003614FF" w:rsidP="003614FF">
      <w:pPr>
        <w:numPr>
          <w:ilvl w:val="1"/>
          <w:numId w:val="15"/>
        </w:numPr>
        <w:spacing w:before="120" w:after="120"/>
        <w:ind w:left="567" w:hanging="567"/>
        <w:rPr>
          <w:rStyle w:val="Hyperlink"/>
        </w:rPr>
      </w:pPr>
      <w:r w:rsidRPr="007722C5">
        <w:rPr>
          <w:b/>
        </w:rPr>
        <w:t>Kontaktpersona</w:t>
      </w:r>
      <w:r>
        <w:t xml:space="preserve">: Alīna Liepiņa-Jākobsone, tālr.: 67996298, e-pasts: </w:t>
      </w:r>
      <w:hyperlink r:id="rId9" w:history="1">
        <w:r w:rsidRPr="009972FF">
          <w:rPr>
            <w:rStyle w:val="Hyperlink"/>
          </w:rPr>
          <w:t>alina.liepina-jakobsone@adazi.lv</w:t>
        </w:r>
      </w:hyperlink>
      <w:r>
        <w:rPr>
          <w:rStyle w:val="Hyperlink"/>
        </w:rPr>
        <w:t>.</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Informācija par iepirkumu</w:t>
      </w:r>
    </w:p>
    <w:p w:rsidR="003614FF" w:rsidRDefault="003614FF" w:rsidP="003614FF">
      <w:pPr>
        <w:numPr>
          <w:ilvl w:val="1"/>
          <w:numId w:val="15"/>
        </w:numPr>
        <w:tabs>
          <w:tab w:val="clear" w:pos="0"/>
          <w:tab w:val="num" w:pos="567"/>
        </w:tabs>
        <w:spacing w:before="120" w:after="120"/>
        <w:ind w:left="567" w:hanging="567"/>
      </w:pPr>
      <w:r>
        <w:t>Iepirkums tiek veikts atbilstoši Publisko iepirkumu likuma 9.panta nosacījumiem.</w:t>
      </w:r>
    </w:p>
    <w:p w:rsidR="003614FF" w:rsidRDefault="003614FF" w:rsidP="003614FF">
      <w:pPr>
        <w:numPr>
          <w:ilvl w:val="1"/>
          <w:numId w:val="15"/>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Piedāvājuma iesniegšanas un atvēršanas vieta, datums, laiks un kārtība</w:t>
      </w:r>
    </w:p>
    <w:p w:rsidR="003614FF" w:rsidRDefault="003614FF" w:rsidP="003614FF">
      <w:pPr>
        <w:numPr>
          <w:ilvl w:val="1"/>
          <w:numId w:val="15"/>
        </w:numPr>
        <w:tabs>
          <w:tab w:val="clear" w:pos="0"/>
          <w:tab w:val="left" w:pos="567"/>
        </w:tabs>
        <w:spacing w:before="120" w:after="120"/>
        <w:ind w:left="567" w:hanging="567"/>
      </w:pPr>
      <w:r>
        <w:t xml:space="preserve">Piedāvājums jāiesniedz līdz </w:t>
      </w:r>
      <w:r w:rsidRPr="00B24414">
        <w:rPr>
          <w:b/>
        </w:rPr>
        <w:t xml:space="preserve">2018.gada </w:t>
      </w:r>
      <w:r w:rsidR="00613D19">
        <w:rPr>
          <w:b/>
        </w:rPr>
        <w:t>8</w:t>
      </w:r>
      <w:r w:rsidR="008B36A0">
        <w:rPr>
          <w:b/>
        </w:rPr>
        <w:t>.maijam</w:t>
      </w:r>
      <w:r w:rsidRPr="00B24414">
        <w:t xml:space="preserve"> plkst. 10:00,</w:t>
      </w:r>
      <w:r>
        <w:t xml:space="preserve"> iesniedzot personīgi Ādažu novada domē, Ādažos, Gaujas ielā 33A, 306.kabinetā (Kanceleja) 3.stāvā, vai atsūtot pa pastu (t.sk., kurjerpastu). Pasta sūtījumam jābūt nogādātam norādītajā adresē līdz augstākminētajam termiņam.</w:t>
      </w:r>
    </w:p>
    <w:p w:rsidR="003614FF" w:rsidRDefault="003614FF" w:rsidP="003614FF">
      <w:pPr>
        <w:numPr>
          <w:ilvl w:val="1"/>
          <w:numId w:val="15"/>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614FF" w:rsidRPr="009F699F" w:rsidRDefault="003614FF" w:rsidP="003614FF">
      <w:pPr>
        <w:numPr>
          <w:ilvl w:val="1"/>
          <w:numId w:val="15"/>
        </w:numPr>
        <w:tabs>
          <w:tab w:val="clear" w:pos="0"/>
          <w:tab w:val="left" w:pos="567"/>
        </w:tabs>
        <w:spacing w:before="120" w:after="120"/>
        <w:ind w:left="567" w:hanging="567"/>
      </w:pPr>
      <w:r w:rsidRPr="003E268B">
        <w:t xml:space="preserve">Pēc piedāvājuma iesniegšanas termiņa beigām </w:t>
      </w:r>
      <w:r>
        <w:t>P</w:t>
      </w:r>
      <w:r w:rsidRPr="003E268B">
        <w:t>retendents iesniegto piedāvājumu grozīt nevar.</w:t>
      </w:r>
      <w:r>
        <w:t xml:space="preserve"> </w:t>
      </w:r>
      <w:r w:rsidRPr="009F699F">
        <w:t xml:space="preserve">Pirms piedāvājumu iesniegšanas termiņa beigām </w:t>
      </w:r>
      <w:r>
        <w:t>P</w:t>
      </w:r>
      <w:r w:rsidRPr="009F699F">
        <w:t>retendents var grozīt vai atsaukt iesniegto piedāvājumu.</w:t>
      </w:r>
    </w:p>
    <w:p w:rsidR="003614FF" w:rsidRPr="00951447" w:rsidRDefault="003614FF" w:rsidP="003614FF">
      <w:pPr>
        <w:numPr>
          <w:ilvl w:val="1"/>
          <w:numId w:val="15"/>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3614FF" w:rsidRPr="009F699F" w:rsidRDefault="003614FF" w:rsidP="003614FF">
      <w:pPr>
        <w:numPr>
          <w:ilvl w:val="1"/>
          <w:numId w:val="15"/>
        </w:numPr>
        <w:tabs>
          <w:tab w:val="clear" w:pos="0"/>
          <w:tab w:val="left" w:pos="567"/>
        </w:tabs>
        <w:spacing w:before="120" w:after="120"/>
        <w:ind w:left="567" w:hanging="567"/>
      </w:pPr>
      <w:r w:rsidRPr="009F699F">
        <w:t>Atsaukumam ir bezierunu raksturs un tas izslēdz pretendenta turpmāku dalību šajā iepirkumā.</w:t>
      </w:r>
    </w:p>
    <w:p w:rsidR="003614FF" w:rsidRDefault="003614FF" w:rsidP="003614FF">
      <w:pPr>
        <w:numPr>
          <w:ilvl w:val="1"/>
          <w:numId w:val="15"/>
        </w:numPr>
        <w:tabs>
          <w:tab w:val="clear" w:pos="0"/>
          <w:tab w:val="left" w:pos="567"/>
        </w:tabs>
        <w:spacing w:before="120" w:after="120"/>
        <w:ind w:left="567" w:hanging="567"/>
      </w:pPr>
      <w:r>
        <w:t>Iepirkuma piedāvājumu vērtēšana notiek slēgtās komisijas sēdēs.</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120"/>
        <w:jc w:val="center"/>
      </w:pPr>
      <w:r>
        <w:rPr>
          <w:b/>
        </w:rPr>
        <w:t>Piedāvājuma noformēšana</w:t>
      </w:r>
    </w:p>
    <w:p w:rsidR="003614FF" w:rsidRDefault="003614FF" w:rsidP="003614FF">
      <w:pPr>
        <w:numPr>
          <w:ilvl w:val="1"/>
          <w:numId w:val="15"/>
        </w:numPr>
        <w:tabs>
          <w:tab w:val="clear" w:pos="0"/>
          <w:tab w:val="num" w:pos="567"/>
        </w:tabs>
        <w:spacing w:before="120" w:after="120"/>
        <w:ind w:left="567" w:hanging="567"/>
      </w:pPr>
      <w:r>
        <w:t>Piedāvājums iesniedzams aizlīmētā, aizzīmogotā iepakojumā – 3 (trīs) eksemplāros (viens oriģi</w:t>
      </w:r>
      <w:r w:rsidR="00B83A59">
        <w:t>nāls un divas kopijas).</w:t>
      </w:r>
      <w:r>
        <w:t xml:space="preserve"> Uz piedāvājuma iepakojuma jābūt šādām norādēm:</w:t>
      </w:r>
    </w:p>
    <w:p w:rsidR="003614FF" w:rsidRDefault="003614FF" w:rsidP="003614FF">
      <w:pPr>
        <w:numPr>
          <w:ilvl w:val="0"/>
          <w:numId w:val="4"/>
        </w:numPr>
        <w:ind w:left="1134" w:hanging="425"/>
      </w:pPr>
      <w:r>
        <w:t>pasūtītāja nosaukums un adrese;</w:t>
      </w:r>
    </w:p>
    <w:p w:rsidR="003614FF" w:rsidRDefault="003614FF" w:rsidP="003614FF">
      <w:pPr>
        <w:numPr>
          <w:ilvl w:val="0"/>
          <w:numId w:val="4"/>
        </w:numPr>
        <w:ind w:left="1134" w:hanging="425"/>
      </w:pPr>
      <w:r>
        <w:t>Iepirkuma nosaukums un identifikācijas numurs;</w:t>
      </w:r>
    </w:p>
    <w:p w:rsidR="003614FF" w:rsidRDefault="003614FF" w:rsidP="003614FF">
      <w:pPr>
        <w:numPr>
          <w:ilvl w:val="0"/>
          <w:numId w:val="4"/>
        </w:numPr>
        <w:ind w:left="1134" w:hanging="425"/>
      </w:pPr>
      <w:r>
        <w:t xml:space="preserve">Atzīme „Neatvērt līdz </w:t>
      </w:r>
      <w:r w:rsidRPr="00B24414">
        <w:rPr>
          <w:b/>
        </w:rPr>
        <w:t xml:space="preserve">2018.gada </w:t>
      </w:r>
      <w:r w:rsidR="00886BB3">
        <w:rPr>
          <w:b/>
        </w:rPr>
        <w:t>8</w:t>
      </w:r>
      <w:r w:rsidR="008B36A0">
        <w:rPr>
          <w:b/>
        </w:rPr>
        <w:t>.maijam</w:t>
      </w:r>
      <w:r w:rsidRPr="00B24414">
        <w:t xml:space="preserve"> plkst. 10:00</w:t>
      </w:r>
      <w:r>
        <w:t>”;</w:t>
      </w:r>
    </w:p>
    <w:p w:rsidR="003614FF" w:rsidRDefault="003614FF" w:rsidP="003614FF">
      <w:pPr>
        <w:numPr>
          <w:ilvl w:val="1"/>
          <w:numId w:val="15"/>
        </w:numPr>
        <w:spacing w:before="120" w:after="120"/>
        <w:ind w:left="567" w:hanging="567"/>
      </w:pPr>
      <w:r>
        <w:t>Katrs piedāvājuma eksemplāra sējums sastāv no trijām daļām:</w:t>
      </w:r>
    </w:p>
    <w:p w:rsidR="003614FF" w:rsidRDefault="003614FF" w:rsidP="003614FF">
      <w:pPr>
        <w:numPr>
          <w:ilvl w:val="0"/>
          <w:numId w:val="4"/>
        </w:numPr>
        <w:ind w:left="1134" w:hanging="425"/>
      </w:pPr>
      <w:r>
        <w:t>pretendenta atlases dokumenti, ieskaitot pieteikumu dalībai iepirkumā;</w:t>
      </w:r>
    </w:p>
    <w:p w:rsidR="003614FF" w:rsidRDefault="003614FF" w:rsidP="003614FF">
      <w:pPr>
        <w:numPr>
          <w:ilvl w:val="0"/>
          <w:numId w:val="4"/>
        </w:numPr>
        <w:ind w:left="1134" w:hanging="425"/>
      </w:pPr>
      <w:r>
        <w:t>tehniskais piedāvājums;</w:t>
      </w:r>
    </w:p>
    <w:p w:rsidR="003614FF" w:rsidRDefault="003614FF" w:rsidP="003614FF">
      <w:pPr>
        <w:numPr>
          <w:ilvl w:val="0"/>
          <w:numId w:val="4"/>
        </w:numPr>
        <w:ind w:left="1134" w:hanging="425"/>
      </w:pPr>
      <w:r>
        <w:t>finanšu piedāvājums.</w:t>
      </w:r>
    </w:p>
    <w:p w:rsidR="003614FF" w:rsidRDefault="003614FF" w:rsidP="003614FF">
      <w:pPr>
        <w:numPr>
          <w:ilvl w:val="1"/>
          <w:numId w:val="15"/>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3614FF" w:rsidRDefault="003614FF" w:rsidP="003614FF">
      <w:pPr>
        <w:numPr>
          <w:ilvl w:val="1"/>
          <w:numId w:val="15"/>
        </w:numPr>
        <w:tabs>
          <w:tab w:val="clear" w:pos="0"/>
          <w:tab w:val="num" w:pos="567"/>
        </w:tabs>
        <w:spacing w:before="120" w:after="120"/>
        <w:ind w:left="567" w:hanging="567"/>
      </w:pPr>
      <w:r>
        <w:t xml:space="preserve">Piedāvājumā iekļautajiem dokumentiem jābūt skaidri salasāmiem, bez labojumiem. </w:t>
      </w:r>
    </w:p>
    <w:p w:rsidR="003614FF" w:rsidRDefault="003614FF" w:rsidP="003614FF">
      <w:pPr>
        <w:numPr>
          <w:ilvl w:val="1"/>
          <w:numId w:val="15"/>
        </w:numPr>
        <w:tabs>
          <w:tab w:val="clear" w:pos="0"/>
          <w:tab w:val="num" w:pos="567"/>
        </w:tabs>
        <w:spacing w:before="120" w:after="120"/>
        <w:ind w:left="567" w:hanging="567"/>
      </w:pPr>
      <w:r>
        <w:t xml:space="preserve">Piedāvājums jāsagatavo latviešu valodā. </w:t>
      </w:r>
    </w:p>
    <w:p w:rsidR="003614FF" w:rsidRDefault="003614FF" w:rsidP="003614FF">
      <w:pPr>
        <w:numPr>
          <w:ilvl w:val="1"/>
          <w:numId w:val="15"/>
        </w:numPr>
        <w:tabs>
          <w:tab w:val="clear" w:pos="0"/>
          <w:tab w:val="num" w:pos="567"/>
        </w:tabs>
        <w:spacing w:before="120" w:after="120"/>
        <w:ind w:left="567" w:hanging="567"/>
      </w:pPr>
      <w:r>
        <w:t xml:space="preserve">Pretendents drīkst iesniegt tikai vienu piedāvājumu par visu darba apjomu. </w:t>
      </w:r>
    </w:p>
    <w:p w:rsidR="003614FF" w:rsidRPr="00287C26" w:rsidRDefault="003614FF" w:rsidP="003614FF">
      <w:pPr>
        <w:numPr>
          <w:ilvl w:val="1"/>
          <w:numId w:val="15"/>
        </w:numPr>
        <w:tabs>
          <w:tab w:val="clear" w:pos="0"/>
          <w:tab w:val="num" w:pos="567"/>
        </w:tabs>
        <w:spacing w:before="120" w:after="120"/>
        <w:ind w:left="567" w:hanging="567"/>
      </w:pPr>
      <w:r>
        <w:t xml:space="preserve">Ja Pretendents iesniedz dokumentu kopijas, tās jāapliecina normatīvajos aktos noteiktajā kārtībā. </w:t>
      </w:r>
      <w:r w:rsidRPr="00287C26">
        <w:t>Piegādātājs ir tiesīgs visu iesniegto dokumentu atvasinājumu un tulkojumu pareizību apliecināt ar vienu apliecinājumu, ja viss piedāvājums ir cauršūts vai caurauklots.</w:t>
      </w:r>
    </w:p>
    <w:p w:rsidR="003614FF" w:rsidRPr="00287C26" w:rsidRDefault="003614FF" w:rsidP="003614FF">
      <w:pPr>
        <w:numPr>
          <w:ilvl w:val="1"/>
          <w:numId w:val="15"/>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3614FF" w:rsidRDefault="003614FF" w:rsidP="003614FF">
      <w:pPr>
        <w:numPr>
          <w:ilvl w:val="1"/>
          <w:numId w:val="15"/>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614FF" w:rsidRDefault="003614FF" w:rsidP="003614FF">
      <w:pPr>
        <w:numPr>
          <w:ilvl w:val="1"/>
          <w:numId w:val="15"/>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614FF" w:rsidRDefault="003614FF" w:rsidP="003614FF">
      <w:pPr>
        <w:numPr>
          <w:ilvl w:val="1"/>
          <w:numId w:val="15"/>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614FF" w:rsidRDefault="003614FF" w:rsidP="003614FF">
      <w:pPr>
        <w:numPr>
          <w:ilvl w:val="1"/>
          <w:numId w:val="15"/>
        </w:numPr>
        <w:tabs>
          <w:tab w:val="clear" w:pos="0"/>
          <w:tab w:val="num" w:pos="567"/>
        </w:tabs>
        <w:spacing w:before="120" w:after="120"/>
        <w:ind w:left="567" w:hanging="567"/>
      </w:pPr>
      <w:r>
        <w:t>Iesniegtie piedāvājumi ir Pasūtītāja īpašums un netiks atdoti atpakaļ Pretendentiem.</w:t>
      </w:r>
    </w:p>
    <w:p w:rsidR="003614FF" w:rsidRDefault="003614FF" w:rsidP="003614FF">
      <w:pPr>
        <w:spacing w:before="120" w:after="120"/>
        <w:ind w:left="567"/>
      </w:pPr>
    </w:p>
    <w:p w:rsidR="003614FF" w:rsidRDefault="003614FF" w:rsidP="003614FF">
      <w:pPr>
        <w:numPr>
          <w:ilvl w:val="0"/>
          <w:numId w:val="15"/>
        </w:numPr>
        <w:shd w:val="clear" w:color="auto" w:fill="C2D69B" w:themeFill="accent3" w:themeFillTint="99"/>
        <w:spacing w:before="120" w:after="60"/>
        <w:ind w:left="357" w:hanging="357"/>
        <w:jc w:val="center"/>
      </w:pPr>
      <w:r>
        <w:rPr>
          <w:b/>
        </w:rPr>
        <w:t>Informācija par iepirkuma priekšmetu</w:t>
      </w:r>
    </w:p>
    <w:p w:rsidR="003614FF" w:rsidRPr="00B349F4" w:rsidRDefault="00B32783" w:rsidP="00B349F4">
      <w:pPr>
        <w:pStyle w:val="Rindkopa"/>
        <w:numPr>
          <w:ilvl w:val="1"/>
          <w:numId w:val="15"/>
        </w:numPr>
        <w:tabs>
          <w:tab w:val="clear" w:pos="0"/>
          <w:tab w:val="num" w:pos="567"/>
        </w:tabs>
        <w:spacing w:before="120" w:after="120"/>
        <w:ind w:left="567" w:hanging="567"/>
        <w:rPr>
          <w:rFonts w:ascii="Times New Roman" w:hAnsi="Times New Roman"/>
          <w:sz w:val="24"/>
        </w:rPr>
      </w:pPr>
      <w:r w:rsidRPr="00B32783">
        <w:rPr>
          <w:rFonts w:ascii="Times New Roman" w:hAnsi="Times New Roman"/>
          <w:noProof/>
          <w:color w:val="000000"/>
          <w:sz w:val="24"/>
          <w:lang w:eastAsia="en-US"/>
        </w:rPr>
        <w:t xml:space="preserve">Iepirkums paredz </w:t>
      </w:r>
      <w:r w:rsidR="008B36A0">
        <w:rPr>
          <w:rFonts w:ascii="Times New Roman" w:hAnsi="Times New Roman"/>
          <w:noProof/>
          <w:color w:val="000000"/>
          <w:sz w:val="24"/>
          <w:lang w:eastAsia="en-US"/>
        </w:rPr>
        <w:t>kalcija hlorīda iegādi ceļu pretputekļu apstrādei.</w:t>
      </w:r>
      <w:r w:rsidR="00896C86" w:rsidRPr="00B349F4">
        <w:rPr>
          <w:rFonts w:ascii="Times New Roman" w:hAnsi="Times New Roman"/>
          <w:sz w:val="24"/>
        </w:rPr>
        <w:t xml:space="preserve"> </w:t>
      </w:r>
      <w:bookmarkStart w:id="0" w:name="_GoBack"/>
      <w:bookmarkEnd w:id="0"/>
    </w:p>
    <w:p w:rsidR="003614FF" w:rsidRPr="00335AE7" w:rsidRDefault="003614FF" w:rsidP="003614FF">
      <w:pPr>
        <w:pStyle w:val="Rindkopa"/>
        <w:numPr>
          <w:ilvl w:val="1"/>
          <w:numId w:val="15"/>
        </w:numPr>
        <w:tabs>
          <w:tab w:val="clear" w:pos="0"/>
          <w:tab w:val="num" w:pos="567"/>
        </w:tabs>
        <w:spacing w:before="120" w:after="120"/>
        <w:ind w:left="567" w:hanging="567"/>
        <w:rPr>
          <w:rFonts w:ascii="Times New Roman" w:hAnsi="Times New Roman"/>
          <w:sz w:val="24"/>
        </w:rPr>
      </w:pPr>
      <w:r w:rsidRPr="00335AE7">
        <w:rPr>
          <w:rFonts w:ascii="Times New Roman" w:hAnsi="Times New Roman"/>
          <w:sz w:val="24"/>
        </w:rPr>
        <w:t>Kontaktpersona par Teh</w:t>
      </w:r>
      <w:r w:rsidR="00FA4C08">
        <w:rPr>
          <w:rFonts w:ascii="Times New Roman" w:hAnsi="Times New Roman"/>
          <w:sz w:val="24"/>
        </w:rPr>
        <w:t xml:space="preserve">nisko specifikāciju: </w:t>
      </w:r>
      <w:r w:rsidR="004931DC">
        <w:rPr>
          <w:rFonts w:ascii="Times New Roman" w:hAnsi="Times New Roman"/>
          <w:sz w:val="24"/>
        </w:rPr>
        <w:t>Artis Brūvers</w:t>
      </w:r>
      <w:r w:rsidR="00FA4C08">
        <w:rPr>
          <w:rFonts w:ascii="Times New Roman" w:hAnsi="Times New Roman"/>
          <w:sz w:val="24"/>
        </w:rPr>
        <w:t xml:space="preserve">, </w:t>
      </w:r>
      <w:r w:rsidR="004931DC">
        <w:rPr>
          <w:rFonts w:ascii="Times New Roman" w:hAnsi="Times New Roman"/>
          <w:sz w:val="24"/>
        </w:rPr>
        <w:t>Saimniecības un infrastruktūras daļas vadītājs, tālr. 24428717</w:t>
      </w:r>
      <w:r w:rsidRPr="00335AE7">
        <w:rPr>
          <w:rFonts w:ascii="Times New Roman" w:hAnsi="Times New Roman"/>
          <w:sz w:val="24"/>
        </w:rPr>
        <w:t xml:space="preserve">, e-pasts </w:t>
      </w:r>
      <w:hyperlink r:id="rId11" w:history="1">
        <w:r w:rsidR="004931DC" w:rsidRPr="008804B6">
          <w:rPr>
            <w:rStyle w:val="Hyperlink"/>
            <w:rFonts w:ascii="Times New Roman" w:hAnsi="Times New Roman"/>
            <w:sz w:val="24"/>
          </w:rPr>
          <w:t>artis.bruvers@adazi.lv</w:t>
        </w:r>
      </w:hyperlink>
      <w:r>
        <w:rPr>
          <w:rFonts w:ascii="Times New Roman" w:hAnsi="Times New Roman"/>
          <w:sz w:val="24"/>
        </w:rPr>
        <w:t xml:space="preserve">. </w:t>
      </w:r>
    </w:p>
    <w:p w:rsidR="003614FF" w:rsidRDefault="003614FF" w:rsidP="003614FF">
      <w:pPr>
        <w:numPr>
          <w:ilvl w:val="1"/>
          <w:numId w:val="15"/>
        </w:numPr>
        <w:tabs>
          <w:tab w:val="clear" w:pos="0"/>
          <w:tab w:val="num" w:pos="567"/>
        </w:tabs>
        <w:spacing w:before="120" w:after="120"/>
        <w:ind w:left="567" w:hanging="567"/>
      </w:pPr>
      <w:r w:rsidRPr="001A68B9">
        <w:t xml:space="preserve">Iepirkums nav sadalīts daļās – pretendentiem jāiesniedz viens piedāvājums par visu apjomu. </w:t>
      </w:r>
      <w:r>
        <w:rPr>
          <w:noProof/>
        </w:rPr>
        <w:t>Nepilnīgs piedāvājums netiks vērtēts.</w:t>
      </w:r>
    </w:p>
    <w:p w:rsidR="00D91B53" w:rsidRDefault="00FB0140" w:rsidP="00F96D1D">
      <w:pPr>
        <w:numPr>
          <w:ilvl w:val="1"/>
          <w:numId w:val="15"/>
        </w:numPr>
        <w:tabs>
          <w:tab w:val="clear" w:pos="0"/>
          <w:tab w:val="num" w:pos="567"/>
        </w:tabs>
        <w:spacing w:before="120" w:after="120"/>
        <w:ind w:left="567" w:hanging="567"/>
      </w:pPr>
      <w:r>
        <w:t>Līgums tiks slēgts par 9920.00</w:t>
      </w:r>
      <w:r w:rsidR="00D75D95" w:rsidRPr="009D27EF">
        <w:t xml:space="preserve"> EUR bez PVN. </w:t>
      </w:r>
      <w:r w:rsidR="00D91B53" w:rsidRPr="009D27EF">
        <w:t xml:space="preserve">Izpildītājam samaksa tiks </w:t>
      </w:r>
      <w:r w:rsidR="00495792">
        <w:t xml:space="preserve">veikta pēc faktiski iegādātā </w:t>
      </w:r>
      <w:r w:rsidR="00D91B53" w:rsidRPr="009D27EF">
        <w:t>apjoma</w:t>
      </w:r>
      <w:r w:rsidR="00D75D95" w:rsidRPr="009D27EF">
        <w:t xml:space="preserve"> un Pasūtītājam nav pienākums iztērēt visu </w:t>
      </w:r>
      <w:r w:rsidR="008006BC" w:rsidRPr="009D27EF">
        <w:t>Līguma summu.</w:t>
      </w:r>
    </w:p>
    <w:p w:rsidR="00033776" w:rsidRPr="009D27EF" w:rsidRDefault="00033776" w:rsidP="00F96D1D">
      <w:pPr>
        <w:numPr>
          <w:ilvl w:val="1"/>
          <w:numId w:val="15"/>
        </w:numPr>
        <w:tabs>
          <w:tab w:val="clear" w:pos="0"/>
          <w:tab w:val="num" w:pos="567"/>
        </w:tabs>
        <w:spacing w:before="120" w:after="120"/>
        <w:ind w:left="567" w:hanging="567"/>
      </w:pPr>
      <w:r>
        <w:t>Līguma izpildes termiņš – 12 mēneši.</w:t>
      </w:r>
    </w:p>
    <w:p w:rsidR="003614FF" w:rsidRDefault="003614FF" w:rsidP="003614FF"/>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sz w:val="24"/>
          <w:szCs w:val="24"/>
        </w:rPr>
      </w:pPr>
      <w:r w:rsidRPr="0085185D">
        <w:rPr>
          <w:rFonts w:ascii="Times New Roman" w:hAnsi="Times New Roman" w:cs="Times New Roman"/>
          <w:b/>
          <w:sz w:val="24"/>
          <w:szCs w:val="24"/>
        </w:rPr>
        <w:t>Kvalifikācijas prasības:</w:t>
      </w:r>
    </w:p>
    <w:p w:rsidR="00E542E3" w:rsidRDefault="000C40D3" w:rsidP="00E542E3">
      <w:pPr>
        <w:pStyle w:val="Paragrfs"/>
        <w:numPr>
          <w:ilvl w:val="1"/>
          <w:numId w:val="3"/>
        </w:numPr>
        <w:tabs>
          <w:tab w:val="clear" w:pos="0"/>
          <w:tab w:val="num" w:pos="709"/>
        </w:tabs>
        <w:spacing w:before="120" w:after="120"/>
        <w:ind w:left="709" w:hanging="709"/>
        <w:rPr>
          <w:rFonts w:ascii="Times New Roman" w:hAnsi="Times New Roman"/>
          <w:sz w:val="24"/>
        </w:rPr>
      </w:pPr>
      <w:r w:rsidRPr="000C40D3">
        <w:rPr>
          <w:rFonts w:ascii="Times New Roman" w:hAnsi="Times New Roman"/>
          <w:sz w:val="24"/>
        </w:rPr>
        <w:t xml:space="preserve">Pretendents normatīvajos tiesību aktos noteiktajā kārtībā ir reģistrēts Komercreģistrā vai līdzvērtīgā reģistrā ārvalstīs. </w:t>
      </w:r>
    </w:p>
    <w:p w:rsidR="00E542E3" w:rsidRPr="00E542E3" w:rsidRDefault="00E542E3" w:rsidP="00E542E3">
      <w:pPr>
        <w:pStyle w:val="Paragrfs"/>
        <w:numPr>
          <w:ilvl w:val="1"/>
          <w:numId w:val="3"/>
        </w:numPr>
        <w:tabs>
          <w:tab w:val="clear" w:pos="0"/>
          <w:tab w:val="num" w:pos="709"/>
        </w:tabs>
        <w:spacing w:before="120" w:after="120"/>
        <w:ind w:left="709" w:hanging="709"/>
        <w:rPr>
          <w:rFonts w:ascii="Times New Roman" w:hAnsi="Times New Roman"/>
          <w:sz w:val="24"/>
        </w:rPr>
      </w:pPr>
      <w:r w:rsidRPr="00E542E3">
        <w:rPr>
          <w:rFonts w:ascii="Times New Roman" w:hAnsi="Times New Roman"/>
          <w:sz w:val="24"/>
        </w:rPr>
        <w:t>Pretendents nodrošina iespēju Pasūtītāja pilnvaro</w:t>
      </w:r>
      <w:r>
        <w:rPr>
          <w:rFonts w:ascii="Times New Roman" w:hAnsi="Times New Roman"/>
          <w:sz w:val="24"/>
        </w:rPr>
        <w:t xml:space="preserve">tajām personām </w:t>
      </w:r>
      <w:r w:rsidR="00033776">
        <w:rPr>
          <w:rFonts w:ascii="Times New Roman" w:hAnsi="Times New Roman"/>
          <w:sz w:val="24"/>
        </w:rPr>
        <w:t xml:space="preserve">saņemt </w:t>
      </w:r>
      <w:r>
        <w:rPr>
          <w:rFonts w:ascii="Times New Roman" w:hAnsi="Times New Roman"/>
          <w:sz w:val="24"/>
        </w:rPr>
        <w:t>preci</w:t>
      </w:r>
      <w:r w:rsidRPr="00E542E3">
        <w:rPr>
          <w:rFonts w:ascii="Times New Roman" w:hAnsi="Times New Roman"/>
          <w:sz w:val="24"/>
        </w:rPr>
        <w:t xml:space="preserve"> tā tirdzniecības viet</w:t>
      </w:r>
      <w:r w:rsidR="00033776">
        <w:rPr>
          <w:rFonts w:ascii="Times New Roman" w:hAnsi="Times New Roman"/>
          <w:sz w:val="24"/>
        </w:rPr>
        <w:t>ā/ās, kas atrodas ne tālāk par 2</w:t>
      </w:r>
      <w:r w:rsidRPr="00E542E3">
        <w:rPr>
          <w:rFonts w:ascii="Times New Roman" w:hAnsi="Times New Roman"/>
          <w:sz w:val="24"/>
        </w:rPr>
        <w:t>0 km no Pasūtītāja adreses (Ādaži, Gaujas iela 33A).</w:t>
      </w:r>
    </w:p>
    <w:p w:rsidR="003614FF" w:rsidRPr="00BE7312" w:rsidRDefault="003614FF" w:rsidP="003614FF">
      <w:pPr>
        <w:pStyle w:val="Rindkopa"/>
      </w:pPr>
    </w:p>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bCs/>
          <w:sz w:val="24"/>
          <w:szCs w:val="24"/>
        </w:rPr>
      </w:pPr>
      <w:r w:rsidRPr="0085185D">
        <w:rPr>
          <w:rFonts w:ascii="Times New Roman" w:hAnsi="Times New Roman" w:cs="Times New Roman"/>
          <w:b/>
          <w:sz w:val="24"/>
          <w:szCs w:val="24"/>
        </w:rPr>
        <w:t>Kvalifikācijas dokumenti:</w:t>
      </w:r>
    </w:p>
    <w:p w:rsidR="003614FF"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bCs/>
          <w:sz w:val="24"/>
          <w:szCs w:val="24"/>
        </w:rPr>
        <w:t xml:space="preserve">Pretendenta pieteikums dalībai iepirkumā, atbilstoši Nolikumam pievienotajai formai (atbilstoši B1 formai). </w:t>
      </w:r>
      <w:r w:rsidRPr="0085185D">
        <w:rPr>
          <w:rFonts w:ascii="Times New Roman" w:hAnsi="Times New Roman" w:cs="Times New Roman"/>
          <w:sz w:val="24"/>
          <w:szCs w:val="24"/>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137207" w:rsidRPr="00137207" w:rsidRDefault="00137207" w:rsidP="00137207">
      <w:pPr>
        <w:pStyle w:val="ListParagraph"/>
        <w:numPr>
          <w:ilvl w:val="1"/>
          <w:numId w:val="15"/>
        </w:numPr>
        <w:spacing w:before="120" w:after="120"/>
        <w:ind w:left="567" w:hanging="567"/>
        <w:rPr>
          <w:rFonts w:ascii="Times New Roman" w:hAnsi="Times New Roman" w:cs="Times New Roman"/>
          <w:sz w:val="24"/>
          <w:szCs w:val="24"/>
        </w:rPr>
      </w:pPr>
      <w:r w:rsidRPr="00137207">
        <w:rPr>
          <w:rStyle w:val="FontStyle11"/>
          <w:rFonts w:ascii="Times New Roman" w:hAnsi="Times New Roman" w:cs="Times New Roman"/>
          <w:b w:val="0"/>
          <w:sz w:val="24"/>
          <w:szCs w:val="24"/>
        </w:rPr>
        <w:t xml:space="preserve">Pretputekļu absorbenta (paredzēts ceļa segumu atputekļošanai) </w:t>
      </w:r>
      <w:r w:rsidRPr="00137207">
        <w:rPr>
          <w:rFonts w:ascii="Times New Roman" w:hAnsi="Times New Roman" w:cs="Times New Roman"/>
          <w:bCs/>
          <w:color w:val="000000"/>
          <w:sz w:val="24"/>
          <w:szCs w:val="24"/>
          <w:lang w:eastAsia="lo-LA" w:bidi="lo-LA"/>
        </w:rPr>
        <w:t>atbilstības deklarācija.</w:t>
      </w:r>
    </w:p>
    <w:p w:rsidR="00411998" w:rsidRPr="00386D07" w:rsidRDefault="00137207" w:rsidP="00411998">
      <w:pPr>
        <w:pStyle w:val="ListParagraph"/>
        <w:numPr>
          <w:ilvl w:val="1"/>
          <w:numId w:val="15"/>
        </w:numPr>
        <w:spacing w:before="120" w:after="120"/>
        <w:ind w:left="567" w:hanging="567"/>
        <w:rPr>
          <w:rStyle w:val="FontStyle11"/>
          <w:rFonts w:ascii="Times New Roman" w:hAnsi="Times New Roman" w:cs="Times New Roman"/>
          <w:b w:val="0"/>
          <w:bCs w:val="0"/>
          <w:color w:val="auto"/>
          <w:sz w:val="24"/>
          <w:szCs w:val="24"/>
        </w:rPr>
      </w:pPr>
      <w:r w:rsidRPr="00137207">
        <w:rPr>
          <w:rStyle w:val="FontStyle11"/>
          <w:rFonts w:ascii="Times New Roman" w:hAnsi="Times New Roman" w:cs="Times New Roman"/>
          <w:b w:val="0"/>
          <w:sz w:val="24"/>
          <w:szCs w:val="24"/>
        </w:rPr>
        <w:t>Pretputekļu absorbenta (paredzēts ceļa segumu atputekļošanai) drošības datu lapa.</w:t>
      </w:r>
    </w:p>
    <w:p w:rsidR="003614FF" w:rsidRDefault="003614FF" w:rsidP="003614FF">
      <w:pPr>
        <w:ind w:left="1134" w:hanging="425"/>
        <w:rPr>
          <w:bCs/>
        </w:rPr>
      </w:pPr>
    </w:p>
    <w:p w:rsidR="003614FF" w:rsidRPr="0085185D"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sz w:val="24"/>
          <w:szCs w:val="24"/>
        </w:rPr>
      </w:pPr>
      <w:r w:rsidRPr="0085185D">
        <w:rPr>
          <w:rFonts w:ascii="Times New Roman" w:hAnsi="Times New Roman" w:cs="Times New Roman"/>
          <w:b/>
          <w:sz w:val="24"/>
          <w:szCs w:val="24"/>
        </w:rPr>
        <w:t xml:space="preserve">Tehniskais </w:t>
      </w:r>
      <w:r w:rsidR="00C74D25">
        <w:rPr>
          <w:rFonts w:ascii="Times New Roman" w:hAnsi="Times New Roman" w:cs="Times New Roman"/>
          <w:b/>
          <w:sz w:val="24"/>
          <w:szCs w:val="24"/>
        </w:rPr>
        <w:t xml:space="preserve">un finanšu </w:t>
      </w:r>
      <w:r w:rsidRPr="0085185D">
        <w:rPr>
          <w:rFonts w:ascii="Times New Roman" w:hAnsi="Times New Roman" w:cs="Times New Roman"/>
          <w:b/>
          <w:sz w:val="24"/>
          <w:szCs w:val="24"/>
        </w:rPr>
        <w:t>piedāvājums</w:t>
      </w:r>
    </w:p>
    <w:p w:rsidR="003614FF" w:rsidRPr="00FE2DF5" w:rsidRDefault="003614FF" w:rsidP="00FE2DF5">
      <w:pPr>
        <w:pStyle w:val="Rindkopa"/>
        <w:numPr>
          <w:ilvl w:val="1"/>
          <w:numId w:val="15"/>
        </w:numPr>
        <w:spacing w:before="120" w:after="120"/>
        <w:ind w:left="567" w:hanging="567"/>
        <w:rPr>
          <w:rFonts w:ascii="Times New Roman" w:hAnsi="Times New Roman"/>
          <w:sz w:val="24"/>
        </w:rPr>
      </w:pPr>
      <w:r>
        <w:rPr>
          <w:rFonts w:ascii="Times New Roman" w:hAnsi="Times New Roman"/>
          <w:sz w:val="24"/>
        </w:rPr>
        <w:t>Tehniskais</w:t>
      </w:r>
      <w:r w:rsidR="00C74D25">
        <w:rPr>
          <w:rFonts w:ascii="Times New Roman" w:hAnsi="Times New Roman"/>
          <w:sz w:val="24"/>
        </w:rPr>
        <w:t xml:space="preserve"> un finanšu piedāvājums</w:t>
      </w:r>
      <w:r>
        <w:rPr>
          <w:rFonts w:ascii="Times New Roman" w:hAnsi="Times New Roman"/>
          <w:sz w:val="24"/>
        </w:rPr>
        <w:t xml:space="preserve"> piedāvājums pretendenta</w:t>
      </w:r>
      <w:r w:rsidR="00C74D25">
        <w:rPr>
          <w:rFonts w:ascii="Times New Roman" w:hAnsi="Times New Roman"/>
          <w:sz w:val="24"/>
        </w:rPr>
        <w:t>m jāsagatavo saskaņā ar Tehniskā un finanšu piedāvājuma formu</w:t>
      </w:r>
      <w:r>
        <w:rPr>
          <w:rFonts w:ascii="Times New Roman" w:hAnsi="Times New Roman"/>
          <w:sz w:val="24"/>
        </w:rPr>
        <w:t xml:space="preserve"> (A pielikums). </w:t>
      </w:r>
    </w:p>
    <w:p w:rsidR="003614FF" w:rsidRPr="00322B26" w:rsidRDefault="003614FF" w:rsidP="00C74D25">
      <w:pPr>
        <w:pStyle w:val="Rindkopa"/>
        <w:ind w:left="0"/>
      </w:pPr>
    </w:p>
    <w:p w:rsidR="003614FF" w:rsidRDefault="003614FF" w:rsidP="003614FF">
      <w:pPr>
        <w:numPr>
          <w:ilvl w:val="0"/>
          <w:numId w:val="15"/>
        </w:numPr>
        <w:shd w:val="clear" w:color="auto" w:fill="C2D69B" w:themeFill="accent3" w:themeFillTint="99"/>
        <w:spacing w:before="120" w:after="60"/>
        <w:ind w:left="357" w:hanging="357"/>
        <w:jc w:val="center"/>
      </w:pPr>
      <w:r>
        <w:rPr>
          <w:b/>
        </w:rPr>
        <w:t>Piedāvājumu izvēles kritēriji</w:t>
      </w:r>
    </w:p>
    <w:p w:rsidR="003614FF" w:rsidRDefault="003614FF" w:rsidP="003614FF">
      <w:pPr>
        <w:numPr>
          <w:ilvl w:val="1"/>
          <w:numId w:val="15"/>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t>as</w:t>
      </w:r>
      <w:r w:rsidRPr="00235DA2">
        <w:t xml:space="preserve"> atbilst nolikuma un tehnisko specifikāciju prasībām, un </w:t>
      </w:r>
      <w:r w:rsidRPr="00235DA2">
        <w:rPr>
          <w:b/>
          <w:u w:val="single"/>
        </w:rPr>
        <w:t>kura cena ir viszemākā</w:t>
      </w:r>
      <w:r>
        <w:rPr>
          <w:b/>
          <w:u w:val="single"/>
        </w:rPr>
        <w:t>.</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60"/>
        <w:ind w:left="357" w:hanging="357"/>
        <w:jc w:val="center"/>
      </w:pPr>
      <w:r>
        <w:rPr>
          <w:b/>
        </w:rPr>
        <w:t>Iepirkuma līgums</w:t>
      </w:r>
    </w:p>
    <w:p w:rsidR="003614FF" w:rsidRPr="0087679D" w:rsidRDefault="003614FF" w:rsidP="003614FF">
      <w:pPr>
        <w:numPr>
          <w:ilvl w:val="1"/>
          <w:numId w:val="15"/>
        </w:numPr>
        <w:tabs>
          <w:tab w:val="clear" w:pos="0"/>
          <w:tab w:val="num" w:pos="567"/>
        </w:tabs>
        <w:spacing w:before="120" w:after="120"/>
        <w:ind w:left="567" w:hanging="567"/>
      </w:pPr>
      <w:r w:rsidRPr="0087679D">
        <w:t>Pasūtītājs slēgs ar izraudzīto Pretendentu iepirkuma līgumu, pamatojoties uz Pasūtītāja sagatavotu un ar Pretendentu saskaņotu līgumprojektu.</w:t>
      </w:r>
    </w:p>
    <w:p w:rsidR="003614FF" w:rsidRDefault="003614FF" w:rsidP="003614FF">
      <w:pPr>
        <w:numPr>
          <w:ilvl w:val="1"/>
          <w:numId w:val="15"/>
        </w:numPr>
        <w:tabs>
          <w:tab w:val="clear" w:pos="0"/>
          <w:tab w:val="num" w:pos="567"/>
        </w:tabs>
        <w:spacing w:before="120" w:after="120"/>
        <w:ind w:left="567" w:hanging="567"/>
      </w:pPr>
      <w:r>
        <w:t>Līgumprojekta noteikumi tiks sagatavoti saskaņā ar šī Iepirkuma noteikumiem.</w:t>
      </w:r>
    </w:p>
    <w:p w:rsidR="00AD5543" w:rsidRDefault="00E35BB6" w:rsidP="001B772F">
      <w:pPr>
        <w:numPr>
          <w:ilvl w:val="1"/>
          <w:numId w:val="15"/>
        </w:numPr>
        <w:tabs>
          <w:tab w:val="clear" w:pos="0"/>
          <w:tab w:val="num" w:pos="567"/>
        </w:tabs>
        <w:spacing w:before="120" w:after="120"/>
        <w:ind w:left="567" w:hanging="567"/>
      </w:pPr>
      <w:r w:rsidRPr="009031BA">
        <w:t xml:space="preserve">Apmaksa tiek veikta </w:t>
      </w:r>
      <w:r>
        <w:t>10 darba dienu laikā pēc pieņemšanas- nodošanas akta parakstīšanas un izpildītāja rēķina saņemšanas.</w:t>
      </w:r>
    </w:p>
    <w:p w:rsidR="003614FF" w:rsidRDefault="003614FF" w:rsidP="003614FF">
      <w:pPr>
        <w:numPr>
          <w:ilvl w:val="1"/>
          <w:numId w:val="15"/>
        </w:numPr>
        <w:tabs>
          <w:tab w:val="clear" w:pos="0"/>
          <w:tab w:val="num" w:pos="567"/>
        </w:tabs>
        <w:spacing w:before="120" w:after="120"/>
        <w:ind w:left="567" w:hanging="567"/>
      </w:pPr>
      <w:r>
        <w:t>Pretendentam, kuram ir piešķirtas līguma slēgšanas tiesības,</w:t>
      </w:r>
      <w:r w:rsidRPr="009F699F">
        <w:t xml:space="preserve"> iepirkuma līgums ir jānoslēdz ar Pasūtītāju ne vēlāk kā </w:t>
      </w:r>
      <w:r w:rsidR="000F646A">
        <w:t>5</w:t>
      </w:r>
      <w:r w:rsidRPr="009F699F">
        <w:t xml:space="preserve"> (</w:t>
      </w:r>
      <w:r w:rsidR="000F646A">
        <w:t>piecu</w:t>
      </w:r>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rsidR="003614FF" w:rsidRDefault="003614FF" w:rsidP="003614FF">
      <w:pPr>
        <w:numPr>
          <w:ilvl w:val="1"/>
          <w:numId w:val="15"/>
        </w:numPr>
        <w:tabs>
          <w:tab w:val="clear" w:pos="0"/>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rsidR="001432E7" w:rsidRPr="00C27EEE" w:rsidRDefault="001432E7" w:rsidP="001432E7">
      <w:pPr>
        <w:spacing w:before="120" w:after="120"/>
        <w:ind w:left="567"/>
      </w:pPr>
    </w:p>
    <w:p w:rsidR="003614FF" w:rsidRDefault="003614FF" w:rsidP="003614FF">
      <w:pPr>
        <w:numPr>
          <w:ilvl w:val="0"/>
          <w:numId w:val="15"/>
        </w:numPr>
        <w:shd w:val="clear" w:color="auto" w:fill="C2D69B" w:themeFill="accent3" w:themeFillTint="99"/>
        <w:spacing w:before="120" w:after="60"/>
        <w:jc w:val="center"/>
      </w:pPr>
      <w:r>
        <w:rPr>
          <w:b/>
        </w:rPr>
        <w:t>Informācijas apmaiņa</w:t>
      </w:r>
    </w:p>
    <w:p w:rsidR="003614FF" w:rsidRDefault="003614FF" w:rsidP="003614FF">
      <w:pPr>
        <w:spacing w:before="120" w:after="120"/>
        <w:ind w:left="567"/>
      </w:pP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3614FF" w:rsidRDefault="003614FF" w:rsidP="003614FF"/>
    <w:p w:rsidR="003614FF" w:rsidRDefault="003614FF" w:rsidP="003614FF"/>
    <w:p w:rsidR="003614FF" w:rsidRDefault="003614FF" w:rsidP="003614FF">
      <w:pPr>
        <w:tabs>
          <w:tab w:val="left" w:pos="5485"/>
        </w:tabs>
        <w:spacing w:before="120" w:after="60"/>
        <w:rPr>
          <w:b/>
        </w:rPr>
      </w:pPr>
      <w:r>
        <w:rPr>
          <w:b/>
        </w:rPr>
        <w:tab/>
      </w: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sectPr w:rsidR="003614FF" w:rsidSect="00293BB7">
          <w:headerReference w:type="even" r:id="rId12"/>
          <w:headerReference w:type="default" r:id="rId13"/>
          <w:footerReference w:type="even" r:id="rId14"/>
          <w:footerReference w:type="default" r:id="rId15"/>
          <w:headerReference w:type="first" r:id="rId16"/>
          <w:footerReference w:type="first" r:id="rId17"/>
          <w:pgSz w:w="11906" w:h="16838"/>
          <w:pgMar w:top="567" w:right="1701" w:bottom="426" w:left="1701" w:header="720" w:footer="709" w:gutter="0"/>
          <w:cols w:space="720"/>
          <w:docGrid w:linePitch="360"/>
        </w:sectPr>
      </w:pPr>
    </w:p>
    <w:p w:rsidR="003614FF" w:rsidRDefault="003614FF" w:rsidP="003614FF">
      <w:pPr>
        <w:pStyle w:val="Punkts"/>
        <w:numPr>
          <w:ilvl w:val="0"/>
          <w:numId w:val="0"/>
        </w:numPr>
        <w:tabs>
          <w:tab w:val="left" w:pos="720"/>
        </w:tabs>
        <w:jc w:val="right"/>
        <w:rPr>
          <w:b w:val="0"/>
          <w:sz w:val="28"/>
          <w:szCs w:val="28"/>
        </w:rPr>
      </w:pPr>
      <w:bookmarkStart w:id="1" w:name="_Toc335864512"/>
      <w:r>
        <w:rPr>
          <w:rFonts w:ascii="Times New Roman" w:hAnsi="Times New Roman"/>
        </w:rPr>
        <w:t>A pielikums</w:t>
      </w:r>
      <w:bookmarkEnd w:id="1"/>
    </w:p>
    <w:p w:rsidR="003614FF" w:rsidRDefault="003614FF" w:rsidP="00623A6E">
      <w:pPr>
        <w:ind w:right="175"/>
        <w:rPr>
          <w:b/>
          <w:sz w:val="28"/>
          <w:szCs w:val="28"/>
        </w:rPr>
      </w:pPr>
    </w:p>
    <w:p w:rsidR="003614FF" w:rsidRPr="009835D0" w:rsidRDefault="00C74D25" w:rsidP="00623A6E">
      <w:pPr>
        <w:ind w:right="175"/>
        <w:jc w:val="center"/>
        <w:rPr>
          <w:b/>
        </w:rPr>
      </w:pPr>
      <w:r>
        <w:rPr>
          <w:b/>
        </w:rPr>
        <w:t>TEHNISKĀ UN FINANŠU PIEDĀVĀJUMA FORMA</w:t>
      </w:r>
    </w:p>
    <w:p w:rsidR="003614FF" w:rsidRDefault="003614FF" w:rsidP="00623A6E">
      <w:pPr>
        <w:pStyle w:val="Apakpunkts"/>
        <w:numPr>
          <w:ilvl w:val="0"/>
          <w:numId w:val="0"/>
        </w:numPr>
        <w:tabs>
          <w:tab w:val="left" w:pos="720"/>
        </w:tabs>
        <w:rPr>
          <w:rFonts w:ascii="Times New Roman" w:hAnsi="Times New Roman"/>
        </w:rPr>
      </w:pPr>
    </w:p>
    <w:p w:rsidR="00D53BD6" w:rsidRPr="00204DB3" w:rsidRDefault="00D53BD6" w:rsidP="00D53BD6">
      <w:pPr>
        <w:jc w:val="center"/>
        <w:rPr>
          <w:b/>
        </w:rPr>
      </w:pPr>
      <w:r w:rsidRPr="00204DB3">
        <w:rPr>
          <w:b/>
        </w:rPr>
        <w:t>Kalcija hlorīds</w:t>
      </w:r>
      <w:r>
        <w:rPr>
          <w:b/>
        </w:rPr>
        <w:t xml:space="preserve"> </w:t>
      </w:r>
      <w:r w:rsidRPr="00204DB3">
        <w:rPr>
          <w:b/>
        </w:rPr>
        <w:t>CaCl</w:t>
      </w:r>
      <w:r w:rsidRPr="00204DB3">
        <w:rPr>
          <w:b/>
          <w:vertAlign w:val="subscript"/>
        </w:rPr>
        <w:t>2</w:t>
      </w:r>
      <w:r w:rsidRPr="00204DB3">
        <w:rPr>
          <w:rFonts w:eastAsia="Times New Roman"/>
          <w:b/>
        </w:rPr>
        <w:t xml:space="preserve"> </w:t>
      </w:r>
      <w:r w:rsidRPr="004F7680">
        <w:rPr>
          <w:rFonts w:eastAsia="Times New Roman"/>
          <w:b/>
          <w:u w:val="single"/>
        </w:rPr>
        <w:t>šķidrā</w:t>
      </w:r>
      <w:r>
        <w:rPr>
          <w:rFonts w:eastAsia="Times New Roman"/>
          <w:b/>
        </w:rPr>
        <w:t xml:space="preserve"> veidā </w:t>
      </w:r>
      <w:r w:rsidRPr="00204DB3">
        <w:rPr>
          <w:rFonts w:eastAsia="Times New Roman"/>
          <w:b/>
        </w:rPr>
        <w:t>piegāde.</w:t>
      </w:r>
    </w:p>
    <w:p w:rsidR="00D53BD6" w:rsidRPr="00AC5F7B" w:rsidRDefault="00D53BD6" w:rsidP="00D53BD6">
      <w:pPr>
        <w:rPr>
          <w:rFonts w:eastAsia="Times New Roman"/>
          <w:b/>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305"/>
        <w:gridCol w:w="2063"/>
        <w:gridCol w:w="3752"/>
      </w:tblGrid>
      <w:tr w:rsidR="0017555A" w:rsidTr="0017555A">
        <w:tc>
          <w:tcPr>
            <w:tcW w:w="953" w:type="dxa"/>
            <w:shd w:val="clear" w:color="auto" w:fill="auto"/>
          </w:tcPr>
          <w:p w:rsidR="0017555A" w:rsidRPr="00CA2944" w:rsidRDefault="0017555A" w:rsidP="00430971">
            <w:pPr>
              <w:spacing w:after="200" w:line="276" w:lineRule="auto"/>
              <w:rPr>
                <w:rFonts w:eastAsia="Times New Roman"/>
                <w:lang w:eastAsia="lv-LV"/>
              </w:rPr>
            </w:pPr>
          </w:p>
        </w:tc>
        <w:tc>
          <w:tcPr>
            <w:tcW w:w="2305" w:type="dxa"/>
            <w:shd w:val="clear" w:color="auto" w:fill="auto"/>
          </w:tcPr>
          <w:p w:rsidR="0017555A" w:rsidRPr="000771B8" w:rsidRDefault="0017555A" w:rsidP="00430971">
            <w:pPr>
              <w:rPr>
                <w:rFonts w:eastAsia="Times New Roman"/>
                <w:b/>
                <w:lang w:eastAsia="lv-LV"/>
              </w:rPr>
            </w:pPr>
          </w:p>
          <w:p w:rsidR="0017555A" w:rsidRPr="000771B8" w:rsidRDefault="0017555A" w:rsidP="00430971">
            <w:pPr>
              <w:rPr>
                <w:rFonts w:eastAsia="Times New Roman"/>
                <w:b/>
                <w:lang w:eastAsia="lv-LV"/>
              </w:rPr>
            </w:pPr>
          </w:p>
          <w:p w:rsidR="0017555A" w:rsidRPr="00CA2944" w:rsidRDefault="0017555A" w:rsidP="00430971">
            <w:pPr>
              <w:rPr>
                <w:rFonts w:eastAsia="Times New Roman"/>
                <w:b/>
                <w:lang w:eastAsia="lv-LV"/>
              </w:rPr>
            </w:pPr>
          </w:p>
        </w:tc>
        <w:tc>
          <w:tcPr>
            <w:tcW w:w="2063" w:type="dxa"/>
            <w:shd w:val="clear" w:color="auto" w:fill="auto"/>
          </w:tcPr>
          <w:p w:rsidR="0017555A" w:rsidRPr="000771B8" w:rsidRDefault="0017555A" w:rsidP="00430971">
            <w:pPr>
              <w:spacing w:after="200" w:line="276" w:lineRule="auto"/>
              <w:rPr>
                <w:rFonts w:eastAsia="Times New Roman"/>
                <w:lang w:eastAsia="lv-LV"/>
              </w:rPr>
            </w:pPr>
          </w:p>
          <w:p w:rsidR="0017555A" w:rsidRPr="00CA2944" w:rsidRDefault="0017555A" w:rsidP="00430971">
            <w:pPr>
              <w:spacing w:after="200" w:line="276" w:lineRule="auto"/>
              <w:rPr>
                <w:rFonts w:eastAsia="Times New Roman"/>
                <w:lang w:eastAsia="lv-LV"/>
              </w:rPr>
            </w:pPr>
            <w:r w:rsidRPr="000771B8">
              <w:rPr>
                <w:rFonts w:eastAsia="Times New Roman"/>
                <w:b/>
                <w:lang w:eastAsia="lv-LV"/>
              </w:rPr>
              <w:t>Cena par 1</w:t>
            </w:r>
            <w:r>
              <w:rPr>
                <w:rFonts w:eastAsia="Times New Roman"/>
                <w:b/>
                <w:lang w:eastAsia="lv-LV"/>
              </w:rPr>
              <w:t xml:space="preserve">000 litriem </w:t>
            </w:r>
            <w:r w:rsidRPr="000771B8">
              <w:rPr>
                <w:rFonts w:eastAsia="Times New Roman"/>
                <w:b/>
                <w:lang w:eastAsia="lv-LV"/>
              </w:rPr>
              <w:t xml:space="preserve"> </w:t>
            </w:r>
          </w:p>
        </w:tc>
        <w:tc>
          <w:tcPr>
            <w:tcW w:w="3752" w:type="dxa"/>
            <w:shd w:val="clear" w:color="auto" w:fill="auto"/>
          </w:tcPr>
          <w:p w:rsidR="0017555A" w:rsidRDefault="0017555A" w:rsidP="00430971">
            <w:pPr>
              <w:spacing w:after="200" w:line="276" w:lineRule="auto"/>
              <w:jc w:val="center"/>
              <w:rPr>
                <w:rFonts w:eastAsia="Times New Roman"/>
                <w:lang w:eastAsia="lv-LV"/>
              </w:rPr>
            </w:pPr>
          </w:p>
          <w:p w:rsidR="0017555A" w:rsidRPr="00CA2944" w:rsidRDefault="0017555A" w:rsidP="00430971">
            <w:pPr>
              <w:spacing w:after="200" w:line="276" w:lineRule="auto"/>
              <w:jc w:val="center"/>
              <w:rPr>
                <w:rFonts w:eastAsia="Times New Roman"/>
                <w:lang w:eastAsia="lv-LV"/>
              </w:rPr>
            </w:pPr>
            <w:r w:rsidRPr="000771B8">
              <w:rPr>
                <w:rFonts w:eastAsia="Times New Roman"/>
                <w:lang w:eastAsia="lv-LV"/>
              </w:rPr>
              <w:t>______________</w:t>
            </w:r>
            <w:r w:rsidRPr="000771B8">
              <w:rPr>
                <w:rFonts w:eastAsia="Times New Roman"/>
                <w:b/>
                <w:lang w:eastAsia="lv-LV"/>
              </w:rPr>
              <w:t xml:space="preserve"> </w:t>
            </w:r>
            <w:r w:rsidRPr="00CA2944">
              <w:rPr>
                <w:rFonts w:eastAsia="Times New Roman"/>
                <w:b/>
                <w:lang w:eastAsia="lv-LV"/>
              </w:rPr>
              <w:t>EUR bez PVN</w:t>
            </w:r>
          </w:p>
        </w:tc>
      </w:tr>
      <w:tr w:rsidR="0017555A" w:rsidTr="0017555A">
        <w:tc>
          <w:tcPr>
            <w:tcW w:w="953" w:type="dxa"/>
            <w:shd w:val="clear" w:color="auto" w:fill="auto"/>
          </w:tcPr>
          <w:p w:rsidR="0017555A" w:rsidRPr="00CA2944" w:rsidRDefault="0017555A" w:rsidP="00430971">
            <w:pPr>
              <w:rPr>
                <w:rFonts w:eastAsia="Times New Roman"/>
                <w:b/>
                <w:lang w:eastAsia="lv-LV"/>
              </w:rPr>
            </w:pPr>
            <w:r w:rsidRPr="00CA2944">
              <w:rPr>
                <w:rFonts w:eastAsia="Times New Roman"/>
                <w:b/>
                <w:lang w:eastAsia="lv-LV"/>
              </w:rPr>
              <w:t>Nr.p.k.</w:t>
            </w:r>
          </w:p>
        </w:tc>
        <w:tc>
          <w:tcPr>
            <w:tcW w:w="2305" w:type="dxa"/>
            <w:shd w:val="clear" w:color="auto" w:fill="auto"/>
          </w:tcPr>
          <w:p w:rsidR="0017555A" w:rsidRPr="00CA2944" w:rsidRDefault="0017555A" w:rsidP="00430971">
            <w:pPr>
              <w:rPr>
                <w:rFonts w:eastAsia="Times New Roman"/>
                <w:b/>
                <w:lang w:eastAsia="lv-LV"/>
              </w:rPr>
            </w:pPr>
            <w:r w:rsidRPr="00CA2944">
              <w:rPr>
                <w:rFonts w:eastAsia="Times New Roman"/>
                <w:b/>
                <w:lang w:eastAsia="lv-LV"/>
              </w:rPr>
              <w:t>Parametrs</w:t>
            </w:r>
          </w:p>
        </w:tc>
        <w:tc>
          <w:tcPr>
            <w:tcW w:w="2063" w:type="dxa"/>
            <w:shd w:val="clear" w:color="auto" w:fill="auto"/>
          </w:tcPr>
          <w:p w:rsidR="0017555A" w:rsidRPr="00CA2944" w:rsidRDefault="0017555A" w:rsidP="00430971">
            <w:pPr>
              <w:rPr>
                <w:rFonts w:eastAsia="Times New Roman"/>
                <w:b/>
                <w:lang w:eastAsia="lv-LV"/>
              </w:rPr>
            </w:pPr>
            <w:r w:rsidRPr="00CA2944">
              <w:rPr>
                <w:rFonts w:eastAsia="Times New Roman"/>
                <w:b/>
                <w:lang w:eastAsia="lv-LV"/>
              </w:rPr>
              <w:t>Prasības</w:t>
            </w:r>
          </w:p>
        </w:tc>
        <w:tc>
          <w:tcPr>
            <w:tcW w:w="3752" w:type="dxa"/>
            <w:shd w:val="clear" w:color="auto" w:fill="auto"/>
          </w:tcPr>
          <w:p w:rsidR="0017555A" w:rsidRPr="00CA2944" w:rsidRDefault="0017555A" w:rsidP="00430971">
            <w:pPr>
              <w:rPr>
                <w:rFonts w:eastAsia="Times New Roman"/>
                <w:b/>
                <w:lang w:eastAsia="lv-LV"/>
              </w:rPr>
            </w:pPr>
            <w:r w:rsidRPr="00CA2944">
              <w:rPr>
                <w:rFonts w:eastAsia="Times New Roman"/>
                <w:b/>
                <w:lang w:eastAsia="lv-LV"/>
              </w:rPr>
              <w:t>Pretendenta piedāvājums</w:t>
            </w:r>
          </w:p>
        </w:tc>
      </w:tr>
      <w:tr w:rsidR="0017555A" w:rsidTr="0017555A">
        <w:tc>
          <w:tcPr>
            <w:tcW w:w="953" w:type="dxa"/>
            <w:shd w:val="clear" w:color="auto" w:fill="auto"/>
          </w:tcPr>
          <w:p w:rsidR="0017555A" w:rsidRPr="000771B8" w:rsidRDefault="0017555A" w:rsidP="00430971">
            <w:pPr>
              <w:spacing w:after="200" w:line="276" w:lineRule="auto"/>
              <w:rPr>
                <w:rFonts w:eastAsia="Times New Roman"/>
                <w:lang w:eastAsia="en-US"/>
              </w:rPr>
            </w:pPr>
            <w:r w:rsidRPr="000771B8">
              <w:rPr>
                <w:rFonts w:eastAsia="Times New Roman"/>
                <w:lang w:eastAsia="en-US"/>
              </w:rPr>
              <w:t>1</w:t>
            </w:r>
          </w:p>
        </w:tc>
        <w:tc>
          <w:tcPr>
            <w:tcW w:w="2305" w:type="dxa"/>
            <w:shd w:val="clear" w:color="auto" w:fill="auto"/>
          </w:tcPr>
          <w:p w:rsidR="0017555A" w:rsidRPr="000771B8" w:rsidRDefault="0017555A" w:rsidP="00430971">
            <w:pPr>
              <w:spacing w:after="160" w:line="259" w:lineRule="auto"/>
              <w:rPr>
                <w:rFonts w:eastAsia="Times New Roman"/>
                <w:b/>
                <w:lang w:eastAsia="en-US"/>
              </w:rPr>
            </w:pPr>
            <w:r w:rsidRPr="000771B8">
              <w:rPr>
                <w:rFonts w:eastAsia="Times New Roman"/>
                <w:b/>
                <w:lang w:eastAsia="en-US"/>
              </w:rPr>
              <w:t>Vizuālais skats</w:t>
            </w:r>
          </w:p>
        </w:tc>
        <w:tc>
          <w:tcPr>
            <w:tcW w:w="2063" w:type="dxa"/>
            <w:shd w:val="clear" w:color="auto" w:fill="auto"/>
          </w:tcPr>
          <w:p w:rsidR="0017555A" w:rsidRPr="00204DB3" w:rsidRDefault="0017555A" w:rsidP="00430971">
            <w:pPr>
              <w:spacing w:after="160" w:line="259" w:lineRule="auto"/>
              <w:rPr>
                <w:lang w:eastAsia="en-US"/>
              </w:rPr>
            </w:pPr>
            <w:r w:rsidRPr="00204DB3">
              <w:rPr>
                <w:lang w:eastAsia="en-US"/>
              </w:rPr>
              <w:t>Šķidrums</w:t>
            </w:r>
            <w:r>
              <w:rPr>
                <w:lang w:eastAsia="en-US"/>
              </w:rPr>
              <w:t xml:space="preserve"> gaiši dzeltens</w:t>
            </w:r>
          </w:p>
        </w:tc>
        <w:tc>
          <w:tcPr>
            <w:tcW w:w="3752" w:type="dxa"/>
            <w:shd w:val="clear" w:color="auto" w:fill="auto"/>
          </w:tcPr>
          <w:p w:rsidR="0017555A" w:rsidRPr="00CA2944" w:rsidRDefault="0017555A" w:rsidP="00430971">
            <w:pPr>
              <w:spacing w:after="200" w:line="276" w:lineRule="auto"/>
              <w:rPr>
                <w:rFonts w:eastAsia="Times New Roman"/>
                <w:lang w:eastAsia="lv-LV"/>
              </w:rPr>
            </w:pPr>
          </w:p>
        </w:tc>
      </w:tr>
      <w:tr w:rsidR="0017555A" w:rsidTr="0017555A">
        <w:tc>
          <w:tcPr>
            <w:tcW w:w="953" w:type="dxa"/>
            <w:shd w:val="clear" w:color="auto" w:fill="auto"/>
          </w:tcPr>
          <w:p w:rsidR="0017555A" w:rsidRPr="000771B8" w:rsidRDefault="0017555A" w:rsidP="00430971">
            <w:pPr>
              <w:spacing w:after="200" w:line="276" w:lineRule="auto"/>
              <w:rPr>
                <w:rFonts w:eastAsia="Times New Roman"/>
                <w:lang w:eastAsia="en-US"/>
              </w:rPr>
            </w:pPr>
            <w:r w:rsidRPr="000771B8">
              <w:rPr>
                <w:rFonts w:eastAsia="Times New Roman"/>
                <w:lang w:eastAsia="en-US"/>
              </w:rPr>
              <w:t>2</w:t>
            </w:r>
          </w:p>
        </w:tc>
        <w:tc>
          <w:tcPr>
            <w:tcW w:w="2305" w:type="dxa"/>
            <w:shd w:val="clear" w:color="auto" w:fill="auto"/>
          </w:tcPr>
          <w:p w:rsidR="0017555A" w:rsidRPr="000771B8" w:rsidRDefault="0017555A" w:rsidP="00430971">
            <w:pPr>
              <w:spacing w:after="200" w:line="276" w:lineRule="auto"/>
              <w:rPr>
                <w:rFonts w:eastAsia="Times New Roman"/>
                <w:lang w:eastAsia="en-US"/>
              </w:rPr>
            </w:pPr>
            <w:r w:rsidRPr="00444262">
              <w:rPr>
                <w:lang w:eastAsia="en-US"/>
              </w:rPr>
              <w:t>CaCl</w:t>
            </w:r>
            <w:r w:rsidRPr="00444262">
              <w:rPr>
                <w:vertAlign w:val="subscript"/>
                <w:lang w:eastAsia="en-US"/>
              </w:rPr>
              <w:t>2</w:t>
            </w:r>
            <w:r w:rsidRPr="000771B8">
              <w:rPr>
                <w:rFonts w:eastAsia="Times New Roman"/>
                <w:lang w:eastAsia="en-US"/>
              </w:rPr>
              <w:t xml:space="preserve"> masas daļa, %</w:t>
            </w:r>
          </w:p>
        </w:tc>
        <w:tc>
          <w:tcPr>
            <w:tcW w:w="2063" w:type="dxa"/>
            <w:shd w:val="clear" w:color="auto" w:fill="auto"/>
          </w:tcPr>
          <w:p w:rsidR="0017555A" w:rsidRPr="000771B8" w:rsidRDefault="0017555A" w:rsidP="00430971">
            <w:pPr>
              <w:spacing w:after="200" w:line="276" w:lineRule="auto"/>
              <w:rPr>
                <w:rFonts w:eastAsia="Times New Roman"/>
                <w:lang w:eastAsia="en-US"/>
              </w:rPr>
            </w:pPr>
            <w:r>
              <w:rPr>
                <w:rFonts w:eastAsia="Times New Roman"/>
                <w:lang w:eastAsia="en-US"/>
              </w:rPr>
              <w:t>20-35</w:t>
            </w:r>
          </w:p>
        </w:tc>
        <w:tc>
          <w:tcPr>
            <w:tcW w:w="3752" w:type="dxa"/>
            <w:shd w:val="clear" w:color="auto" w:fill="auto"/>
          </w:tcPr>
          <w:p w:rsidR="0017555A" w:rsidRPr="00CA2944" w:rsidRDefault="0017555A" w:rsidP="00430971">
            <w:pPr>
              <w:spacing w:after="200" w:line="276" w:lineRule="auto"/>
              <w:rPr>
                <w:rFonts w:eastAsia="Times New Roman"/>
                <w:lang w:eastAsia="lv-LV"/>
              </w:rPr>
            </w:pPr>
          </w:p>
        </w:tc>
      </w:tr>
      <w:tr w:rsidR="0017555A" w:rsidTr="0017555A">
        <w:tc>
          <w:tcPr>
            <w:tcW w:w="953" w:type="dxa"/>
            <w:shd w:val="clear" w:color="auto" w:fill="auto"/>
          </w:tcPr>
          <w:p w:rsidR="0017555A" w:rsidRPr="000771B8" w:rsidRDefault="0017555A" w:rsidP="00430971">
            <w:pPr>
              <w:spacing w:after="200" w:line="276" w:lineRule="auto"/>
              <w:rPr>
                <w:rFonts w:eastAsia="Times New Roman"/>
                <w:lang w:eastAsia="en-US"/>
              </w:rPr>
            </w:pPr>
            <w:r>
              <w:rPr>
                <w:rFonts w:eastAsia="Times New Roman"/>
                <w:lang w:eastAsia="en-US"/>
              </w:rPr>
              <w:t>3</w:t>
            </w:r>
          </w:p>
        </w:tc>
        <w:tc>
          <w:tcPr>
            <w:tcW w:w="2305" w:type="dxa"/>
            <w:shd w:val="clear" w:color="auto" w:fill="auto"/>
          </w:tcPr>
          <w:p w:rsidR="0017555A" w:rsidRPr="000771B8" w:rsidRDefault="0017555A" w:rsidP="00430971">
            <w:pPr>
              <w:spacing w:after="200" w:line="276" w:lineRule="auto"/>
              <w:rPr>
                <w:rFonts w:eastAsia="Times New Roman"/>
                <w:lang w:eastAsia="en-US"/>
              </w:rPr>
            </w:pPr>
            <w:r w:rsidRPr="000771B8">
              <w:rPr>
                <w:rFonts w:eastAsia="Times New Roman"/>
                <w:lang w:eastAsia="en-US"/>
              </w:rPr>
              <w:t xml:space="preserve">pH </w:t>
            </w:r>
          </w:p>
        </w:tc>
        <w:tc>
          <w:tcPr>
            <w:tcW w:w="2063" w:type="dxa"/>
            <w:shd w:val="clear" w:color="auto" w:fill="auto"/>
          </w:tcPr>
          <w:p w:rsidR="0017555A" w:rsidRPr="000771B8" w:rsidRDefault="0017555A" w:rsidP="00430971">
            <w:pPr>
              <w:spacing w:after="200" w:line="276" w:lineRule="auto"/>
              <w:rPr>
                <w:rFonts w:eastAsia="Times New Roman"/>
                <w:lang w:eastAsia="en-US"/>
              </w:rPr>
            </w:pPr>
            <w:r>
              <w:rPr>
                <w:rFonts w:eastAsia="Times New Roman"/>
                <w:lang w:eastAsia="en-US"/>
              </w:rPr>
              <w:t>7 – 8</w:t>
            </w:r>
          </w:p>
        </w:tc>
        <w:tc>
          <w:tcPr>
            <w:tcW w:w="3752" w:type="dxa"/>
            <w:shd w:val="clear" w:color="auto" w:fill="auto"/>
          </w:tcPr>
          <w:p w:rsidR="0017555A" w:rsidRPr="00CA2944" w:rsidRDefault="0017555A" w:rsidP="00430971">
            <w:pPr>
              <w:spacing w:after="200" w:line="276" w:lineRule="auto"/>
              <w:rPr>
                <w:rFonts w:eastAsia="Times New Roman"/>
                <w:lang w:eastAsia="lv-LV"/>
              </w:rPr>
            </w:pPr>
          </w:p>
        </w:tc>
      </w:tr>
      <w:tr w:rsidR="0017555A" w:rsidTr="0017555A">
        <w:tc>
          <w:tcPr>
            <w:tcW w:w="953" w:type="dxa"/>
            <w:shd w:val="clear" w:color="auto" w:fill="auto"/>
          </w:tcPr>
          <w:p w:rsidR="0017555A" w:rsidRPr="000771B8" w:rsidRDefault="0017555A" w:rsidP="00430971">
            <w:pPr>
              <w:spacing w:after="200" w:line="276" w:lineRule="auto"/>
              <w:rPr>
                <w:rFonts w:eastAsia="Times New Roman"/>
                <w:lang w:eastAsia="en-US"/>
              </w:rPr>
            </w:pPr>
            <w:r>
              <w:rPr>
                <w:rFonts w:eastAsia="Times New Roman"/>
                <w:lang w:eastAsia="en-US"/>
              </w:rPr>
              <w:t>4</w:t>
            </w:r>
          </w:p>
        </w:tc>
        <w:tc>
          <w:tcPr>
            <w:tcW w:w="2305" w:type="dxa"/>
            <w:shd w:val="clear" w:color="auto" w:fill="auto"/>
          </w:tcPr>
          <w:p w:rsidR="0017555A" w:rsidRPr="00444262" w:rsidRDefault="0017555A" w:rsidP="00430971">
            <w:pPr>
              <w:spacing w:after="200" w:line="276" w:lineRule="auto"/>
              <w:rPr>
                <w:rFonts w:eastAsia="Times New Roman"/>
                <w:lang w:eastAsia="en-US"/>
              </w:rPr>
            </w:pPr>
            <w:r w:rsidRPr="00444262">
              <w:rPr>
                <w:rFonts w:eastAsia="Times New Roman"/>
                <w:lang w:eastAsia="en-US"/>
              </w:rPr>
              <w:t xml:space="preserve">Blīvums </w:t>
            </w:r>
          </w:p>
        </w:tc>
        <w:tc>
          <w:tcPr>
            <w:tcW w:w="2063" w:type="dxa"/>
            <w:shd w:val="clear" w:color="auto" w:fill="auto"/>
          </w:tcPr>
          <w:p w:rsidR="0017555A" w:rsidRPr="00444262" w:rsidRDefault="0017555A" w:rsidP="00430971">
            <w:pPr>
              <w:spacing w:after="200" w:line="276" w:lineRule="auto"/>
              <w:rPr>
                <w:rFonts w:eastAsia="Times New Roman"/>
                <w:lang w:eastAsia="en-US"/>
              </w:rPr>
            </w:pPr>
            <w:r w:rsidRPr="00444262">
              <w:rPr>
                <w:lang w:eastAsia="en-US"/>
              </w:rPr>
              <w:t>1,46 – 1,61 g m</w:t>
            </w:r>
            <w:r w:rsidRPr="00444262">
              <w:rPr>
                <w:vertAlign w:val="superscript"/>
                <w:lang w:eastAsia="en-US"/>
              </w:rPr>
              <w:t xml:space="preserve">-3 </w:t>
            </w:r>
            <w:r w:rsidRPr="00444262">
              <w:rPr>
                <w:lang w:eastAsia="en-US"/>
              </w:rPr>
              <w:t>(20 °C)</w:t>
            </w:r>
          </w:p>
        </w:tc>
        <w:tc>
          <w:tcPr>
            <w:tcW w:w="3752" w:type="dxa"/>
            <w:shd w:val="clear" w:color="auto" w:fill="auto"/>
          </w:tcPr>
          <w:p w:rsidR="0017555A" w:rsidRPr="00CA2944" w:rsidRDefault="0017555A" w:rsidP="00430971">
            <w:pPr>
              <w:spacing w:after="200" w:line="276" w:lineRule="auto"/>
              <w:rPr>
                <w:rFonts w:eastAsia="Times New Roman"/>
                <w:lang w:eastAsia="lv-LV"/>
              </w:rPr>
            </w:pPr>
          </w:p>
        </w:tc>
      </w:tr>
    </w:tbl>
    <w:p w:rsidR="0017555A" w:rsidRDefault="0017555A" w:rsidP="0017555A">
      <w:pPr>
        <w:rPr>
          <w:b/>
        </w:rPr>
      </w:pPr>
    </w:p>
    <w:p w:rsidR="00936445" w:rsidRDefault="00936445" w:rsidP="0017555A">
      <w:pPr>
        <w:rPr>
          <w:b/>
        </w:rPr>
      </w:pPr>
      <w:r w:rsidRPr="00373C49">
        <w:rPr>
          <w:b/>
        </w:rPr>
        <w:t xml:space="preserve">Pasūtītājs apņemas pats saņemt preci pretendenta piedāvātajā adresē, kura atrodas ne tālāk kā </w:t>
      </w:r>
      <w:r w:rsidRPr="00373C49">
        <w:rPr>
          <w:b/>
          <w:u w:val="single"/>
        </w:rPr>
        <w:t>20km</w:t>
      </w:r>
      <w:r>
        <w:rPr>
          <w:b/>
        </w:rPr>
        <w:t xml:space="preserve"> no Ādažiem, Gaujas ielas 33A.</w:t>
      </w:r>
    </w:p>
    <w:p w:rsidR="00936445" w:rsidRDefault="00936445" w:rsidP="0017555A">
      <w:pPr>
        <w:rPr>
          <w:b/>
        </w:rPr>
      </w:pPr>
    </w:p>
    <w:p w:rsidR="00FA0AE1" w:rsidRDefault="0017555A" w:rsidP="0017555A">
      <w:pPr>
        <w:rPr>
          <w:b/>
        </w:rPr>
      </w:pPr>
      <w:r>
        <w:rPr>
          <w:b/>
        </w:rPr>
        <w:t>Preces</w:t>
      </w:r>
      <w:r w:rsidRPr="00373C49">
        <w:rPr>
          <w:b/>
        </w:rPr>
        <w:t xml:space="preserve"> </w:t>
      </w:r>
      <w:r>
        <w:rPr>
          <w:b/>
        </w:rPr>
        <w:t xml:space="preserve">saņemšanas adrese ________ un attālums </w:t>
      </w:r>
      <w:r w:rsidRPr="00373C49">
        <w:rPr>
          <w:b/>
        </w:rPr>
        <w:t xml:space="preserve"> </w:t>
      </w:r>
      <w:r>
        <w:rPr>
          <w:b/>
        </w:rPr>
        <w:t xml:space="preserve">___ km </w:t>
      </w:r>
      <w:r w:rsidRPr="00373C49">
        <w:rPr>
          <w:b/>
        </w:rPr>
        <w:t>no Ādažiem, Gaujas ielas 33A</w:t>
      </w:r>
      <w:r>
        <w:rPr>
          <w:b/>
        </w:rPr>
        <w:t>, LV-2164.</w:t>
      </w:r>
    </w:p>
    <w:p w:rsidR="00936445" w:rsidRDefault="00936445" w:rsidP="0017555A">
      <w:pPr>
        <w:rPr>
          <w:b/>
        </w:rPr>
      </w:pPr>
    </w:p>
    <w:p w:rsidR="00FA0AE1" w:rsidRPr="00373C49" w:rsidRDefault="00D53BD6" w:rsidP="0017555A">
      <w:pPr>
        <w:rPr>
          <w:b/>
        </w:rPr>
      </w:pPr>
      <w:r w:rsidRPr="00373C49">
        <w:rPr>
          <w:b/>
        </w:rPr>
        <w:t>Fasējuma  veids – iepakojumā pa 1000 litriem</w:t>
      </w:r>
      <w:r w:rsidR="00FA0AE1">
        <w:rPr>
          <w:b/>
        </w:rPr>
        <w:t>.</w:t>
      </w:r>
    </w:p>
    <w:p w:rsidR="003614FF" w:rsidRDefault="003614FF" w:rsidP="003614FF">
      <w:pPr>
        <w:pStyle w:val="Punkts"/>
        <w:numPr>
          <w:ilvl w:val="0"/>
          <w:numId w:val="0"/>
        </w:numPr>
        <w:tabs>
          <w:tab w:val="left" w:pos="720"/>
        </w:tabs>
        <w:jc w:val="center"/>
        <w:rPr>
          <w:rFonts w:ascii="Times New Roman" w:hAnsi="Times New Roman"/>
        </w:rPr>
      </w:pPr>
      <w:r>
        <w:br w:type="page"/>
      </w: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B pielikums</w:t>
      </w: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bookmarkStart w:id="2" w:name="_Toc335864515"/>
      <w:r w:rsidRPr="00475A13">
        <w:rPr>
          <w:rFonts w:ascii="Times New Roman" w:hAnsi="Times New Roman"/>
          <w:sz w:val="28"/>
          <w:szCs w:val="28"/>
        </w:rPr>
        <w:t>Veidnes piedāvājuma sagatavošanai</w:t>
      </w:r>
      <w:bookmarkEnd w:id="2"/>
    </w:p>
    <w:p w:rsidR="003614FF" w:rsidRDefault="003614FF" w:rsidP="003614FF">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t>B1 pielikums: Pieteikuma dalībai iepirkumā veidne</w:t>
      </w:r>
      <w:bookmarkEnd w:id="3"/>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614FF" w:rsidRDefault="003614FF" w:rsidP="003614FF">
      <w:pPr>
        <w:jc w:val="center"/>
        <w:rPr>
          <w:b/>
          <w:sz w:val="28"/>
        </w:rPr>
      </w:pPr>
    </w:p>
    <w:p w:rsidR="003614FF" w:rsidRDefault="003614FF" w:rsidP="003614FF">
      <w:pPr>
        <w:jc w:val="center"/>
      </w:pPr>
      <w:r>
        <w:rPr>
          <w:b/>
          <w:sz w:val="28"/>
        </w:rPr>
        <w:t xml:space="preserve">Pieteikums dalībai iepirkumā </w:t>
      </w:r>
    </w:p>
    <w:p w:rsidR="003614FF" w:rsidRDefault="003614FF" w:rsidP="003614FF"/>
    <w:p w:rsidR="003614FF" w:rsidRDefault="003614FF" w:rsidP="003614FF">
      <w:r>
        <w:t>Iepirkuma Identifikācijas Nr. ____</w:t>
      </w:r>
    </w:p>
    <w:p w:rsidR="003614FF" w:rsidRDefault="003614FF" w:rsidP="003614FF">
      <w:pPr>
        <w:jc w:val="right"/>
      </w:pPr>
      <w:r>
        <w:t>Ādažu novada domes Iepirkuma komisijai</w:t>
      </w:r>
    </w:p>
    <w:p w:rsidR="003614FF" w:rsidRDefault="003614FF" w:rsidP="003614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614FF" w:rsidTr="00953DB5">
        <w:trPr>
          <w:trHeight w:val="80"/>
        </w:trPr>
        <w:tc>
          <w:tcPr>
            <w:tcW w:w="2404" w:type="dxa"/>
            <w:tcBorders>
              <w:top w:val="nil"/>
              <w:left w:val="nil"/>
              <w:bottom w:val="single" w:sz="4" w:space="0" w:color="auto"/>
              <w:right w:val="nil"/>
            </w:tcBorders>
          </w:tcPr>
          <w:p w:rsidR="003614FF" w:rsidRDefault="003614FF" w:rsidP="00953DB5">
            <w:pPr>
              <w:jc w:val="center"/>
            </w:pPr>
          </w:p>
        </w:tc>
        <w:tc>
          <w:tcPr>
            <w:tcW w:w="3785" w:type="dxa"/>
            <w:tcBorders>
              <w:top w:val="nil"/>
              <w:left w:val="nil"/>
              <w:bottom w:val="nil"/>
              <w:right w:val="nil"/>
            </w:tcBorders>
          </w:tcPr>
          <w:p w:rsidR="003614FF" w:rsidRDefault="003614FF" w:rsidP="00953DB5">
            <w:pPr>
              <w:jc w:val="center"/>
            </w:pPr>
          </w:p>
        </w:tc>
        <w:tc>
          <w:tcPr>
            <w:tcW w:w="3099" w:type="dxa"/>
            <w:tcBorders>
              <w:top w:val="nil"/>
              <w:left w:val="nil"/>
              <w:bottom w:val="single" w:sz="4" w:space="0" w:color="auto"/>
              <w:right w:val="nil"/>
            </w:tcBorders>
          </w:tcPr>
          <w:p w:rsidR="003614FF" w:rsidRDefault="003614FF" w:rsidP="00953DB5">
            <w:pPr>
              <w:jc w:val="center"/>
            </w:pPr>
          </w:p>
        </w:tc>
      </w:tr>
      <w:tr w:rsidR="003614FF" w:rsidTr="00953DB5">
        <w:tc>
          <w:tcPr>
            <w:tcW w:w="2404" w:type="dxa"/>
            <w:tcBorders>
              <w:top w:val="single" w:sz="4" w:space="0" w:color="auto"/>
              <w:left w:val="nil"/>
              <w:bottom w:val="nil"/>
              <w:right w:val="nil"/>
            </w:tcBorders>
            <w:hideMark/>
          </w:tcPr>
          <w:p w:rsidR="003614FF" w:rsidRDefault="003614FF" w:rsidP="00953DB5">
            <w:pPr>
              <w:jc w:val="center"/>
            </w:pPr>
            <w:r>
              <w:t>sastādīšanas vieta</w:t>
            </w:r>
          </w:p>
        </w:tc>
        <w:tc>
          <w:tcPr>
            <w:tcW w:w="3785" w:type="dxa"/>
            <w:tcBorders>
              <w:top w:val="nil"/>
              <w:left w:val="nil"/>
              <w:bottom w:val="nil"/>
              <w:right w:val="nil"/>
            </w:tcBorders>
          </w:tcPr>
          <w:p w:rsidR="003614FF" w:rsidRDefault="003614FF" w:rsidP="00953DB5">
            <w:pPr>
              <w:jc w:val="center"/>
            </w:pPr>
          </w:p>
        </w:tc>
        <w:tc>
          <w:tcPr>
            <w:tcW w:w="3099" w:type="dxa"/>
            <w:tcBorders>
              <w:top w:val="single" w:sz="4" w:space="0" w:color="auto"/>
              <w:left w:val="nil"/>
              <w:bottom w:val="nil"/>
              <w:right w:val="nil"/>
            </w:tcBorders>
            <w:hideMark/>
          </w:tcPr>
          <w:p w:rsidR="003614FF" w:rsidRDefault="003614FF" w:rsidP="00953DB5">
            <w:pPr>
              <w:jc w:val="center"/>
            </w:pPr>
            <w:r>
              <w:t>datums</w:t>
            </w:r>
          </w:p>
        </w:tc>
      </w:tr>
    </w:tbl>
    <w:p w:rsidR="003614FF" w:rsidRDefault="003614FF" w:rsidP="003614FF"/>
    <w:p w:rsidR="003614FF" w:rsidRDefault="003614FF" w:rsidP="003614FF"/>
    <w:p w:rsidR="003614FF" w:rsidRDefault="003614FF" w:rsidP="003614FF">
      <w:r>
        <w:t>Saskaņā ar Nolikumu es apakšā parakstījies apliecinu, ka:</w:t>
      </w:r>
    </w:p>
    <w:p w:rsidR="003614FF" w:rsidRDefault="003614FF" w:rsidP="003614FF">
      <w:pPr>
        <w:numPr>
          <w:ilvl w:val="0"/>
          <w:numId w:val="6"/>
        </w:numPr>
        <w:suppressAutoHyphens w:val="0"/>
        <w:ind w:left="426"/>
      </w:pPr>
      <w:r>
        <w:t>___________________________ (pretendenta nosaukums) piekrīt Nolikuma noteikumiem un garantē Nolikuma un tā pielikumu prasību izpildi. Noteikumi ir skaidri un saprotami;</w:t>
      </w:r>
    </w:p>
    <w:p w:rsidR="003614FF" w:rsidRDefault="003614FF" w:rsidP="003614FF">
      <w:pPr>
        <w:numPr>
          <w:ilvl w:val="0"/>
          <w:numId w:val="6"/>
        </w:numPr>
        <w:suppressAutoHyphens w:val="0"/>
        <w:ind w:left="426"/>
      </w:pPr>
      <w:r>
        <w:t>Pievienotie dokumenti veido šo piedāvājumu.</w:t>
      </w:r>
    </w:p>
    <w:p w:rsidR="003614FF" w:rsidRPr="00260767" w:rsidRDefault="003614FF" w:rsidP="003614FF">
      <w:pPr>
        <w:numPr>
          <w:ilvl w:val="0"/>
          <w:numId w:val="6"/>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3614FF" w:rsidRPr="00F17C98" w:rsidRDefault="003614FF" w:rsidP="003614F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3614FF" w:rsidRDefault="003614FF" w:rsidP="003614FF">
      <w:pPr>
        <w:suppressAutoHyphens w:val="0"/>
        <w:ind w:left="426"/>
      </w:pPr>
    </w:p>
    <w:p w:rsidR="003614FF" w:rsidRDefault="003614FF" w:rsidP="003614FF"/>
    <w:p w:rsidR="003614FF" w:rsidRDefault="003614FF" w:rsidP="003614FF"/>
    <w:tbl>
      <w:tblPr>
        <w:tblW w:w="0" w:type="auto"/>
        <w:tblLayout w:type="fixed"/>
        <w:tblLook w:val="04A0" w:firstRow="1" w:lastRow="0" w:firstColumn="1" w:lastColumn="0" w:noHBand="0" w:noVBand="1"/>
      </w:tblPr>
      <w:tblGrid>
        <w:gridCol w:w="2198"/>
        <w:gridCol w:w="310"/>
        <w:gridCol w:w="2656"/>
        <w:gridCol w:w="923"/>
        <w:gridCol w:w="3201"/>
      </w:tblGrid>
      <w:tr w:rsidR="003614FF" w:rsidTr="00953D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pretendentu</w:t>
            </w:r>
          </w:p>
        </w:tc>
      </w:tr>
      <w:tr w:rsidR="003614FF" w:rsidTr="00953DB5">
        <w:trPr>
          <w:cantSplit/>
        </w:trPr>
        <w:tc>
          <w:tcPr>
            <w:tcW w:w="2508" w:type="dxa"/>
            <w:gridSpan w:val="2"/>
            <w:tcBorders>
              <w:top w:val="single" w:sz="4" w:space="0" w:color="auto"/>
              <w:left w:val="nil"/>
              <w:bottom w:val="nil"/>
              <w:right w:val="nil"/>
            </w:tcBorders>
            <w:hideMark/>
          </w:tcPr>
          <w:p w:rsidR="003614FF" w:rsidRDefault="003614FF" w:rsidP="00953DB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508" w:type="dxa"/>
            <w:gridSpan w:val="2"/>
            <w:hideMark/>
          </w:tcPr>
          <w:p w:rsidR="003614FF" w:rsidRDefault="003614FF" w:rsidP="00953DB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614FF" w:rsidRDefault="003614FF" w:rsidP="00953DB5">
            <w:pPr>
              <w:spacing w:before="120"/>
              <w:jc w:val="center"/>
              <w:rPr>
                <w:b/>
              </w:rPr>
            </w:pPr>
            <w:r>
              <w:rPr>
                <w:b/>
              </w:rPr>
              <w:t>LV-</w:t>
            </w:r>
          </w:p>
        </w:tc>
      </w:tr>
      <w:tr w:rsidR="003614FF" w:rsidTr="00953DB5">
        <w:trPr>
          <w:cantSplit/>
        </w:trPr>
        <w:tc>
          <w:tcPr>
            <w:tcW w:w="2508" w:type="dxa"/>
            <w:gridSpan w:val="2"/>
            <w:hideMark/>
          </w:tcPr>
          <w:p w:rsidR="003614FF" w:rsidRDefault="003614FF" w:rsidP="00953DB5">
            <w:pPr>
              <w:spacing w:before="120"/>
              <w:jc w:val="center"/>
              <w:rPr>
                <w:b/>
              </w:rPr>
            </w:pPr>
            <w:r>
              <w:rPr>
                <w:b/>
              </w:rPr>
              <w:t>Juridiskā adrese:</w:t>
            </w:r>
          </w:p>
        </w:tc>
        <w:tc>
          <w:tcPr>
            <w:tcW w:w="6780" w:type="dxa"/>
            <w:gridSpan w:val="3"/>
            <w:tcBorders>
              <w:top w:val="nil"/>
              <w:left w:val="nil"/>
              <w:bottom w:val="single" w:sz="4" w:space="0" w:color="auto"/>
              <w:right w:val="nil"/>
            </w:tcBorders>
          </w:tcPr>
          <w:p w:rsidR="003614FF" w:rsidRDefault="003614FF" w:rsidP="00953DB5">
            <w:pPr>
              <w:spacing w:before="120"/>
              <w:jc w:val="center"/>
              <w:rPr>
                <w:b/>
              </w:rPr>
            </w:pPr>
            <w:r>
              <w:rPr>
                <w:b/>
              </w:rPr>
              <w:t>LV-</w:t>
            </w:r>
          </w:p>
        </w:tc>
      </w:tr>
      <w:tr w:rsidR="003614FF" w:rsidTr="00953DB5">
        <w:trPr>
          <w:cantSplit/>
        </w:trPr>
        <w:tc>
          <w:tcPr>
            <w:tcW w:w="2508" w:type="dxa"/>
            <w:gridSpan w:val="2"/>
            <w:hideMark/>
          </w:tcPr>
          <w:p w:rsidR="003614FF" w:rsidRDefault="003614FF" w:rsidP="00953DB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508" w:type="dxa"/>
            <w:gridSpan w:val="2"/>
            <w:hideMark/>
          </w:tcPr>
          <w:p w:rsidR="003614FF" w:rsidRDefault="003614FF" w:rsidP="00953DB5">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614FF" w:rsidRDefault="003614FF" w:rsidP="00953DB5">
            <w:pPr>
              <w:spacing w:before="120"/>
              <w:jc w:val="center"/>
              <w:rPr>
                <w:b/>
              </w:rPr>
            </w:pPr>
          </w:p>
        </w:tc>
        <w:tc>
          <w:tcPr>
            <w:tcW w:w="923" w:type="dxa"/>
            <w:tcBorders>
              <w:top w:val="single" w:sz="4" w:space="0" w:color="auto"/>
              <w:left w:val="nil"/>
              <w:bottom w:val="nil"/>
              <w:right w:val="nil"/>
            </w:tcBorders>
            <w:hideMark/>
          </w:tcPr>
          <w:p w:rsidR="003614FF" w:rsidRDefault="003614FF" w:rsidP="00953DB5">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508" w:type="dxa"/>
            <w:gridSpan w:val="2"/>
            <w:hideMark/>
          </w:tcPr>
          <w:p w:rsidR="003614FF" w:rsidRDefault="003614FF" w:rsidP="00953DB5">
            <w:pPr>
              <w:spacing w:before="120"/>
              <w:jc w:val="center"/>
              <w:rPr>
                <w:b/>
              </w:rPr>
            </w:pPr>
            <w:r>
              <w:rPr>
                <w:b/>
              </w:rPr>
              <w:t>E-pasta adrese:</w:t>
            </w:r>
          </w:p>
        </w:tc>
        <w:tc>
          <w:tcPr>
            <w:tcW w:w="6780" w:type="dxa"/>
            <w:gridSpan w:val="3"/>
            <w:tcBorders>
              <w:top w:val="nil"/>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9288" w:type="dxa"/>
            <w:gridSpan w:val="5"/>
            <w:tcBorders>
              <w:top w:val="nil"/>
              <w:left w:val="nil"/>
              <w:bottom w:val="single" w:sz="4" w:space="0" w:color="auto"/>
              <w:right w:val="nil"/>
            </w:tcBorders>
          </w:tcPr>
          <w:p w:rsidR="003614FF" w:rsidRDefault="003614FF" w:rsidP="00953DB5">
            <w:pPr>
              <w:spacing w:before="120"/>
              <w:jc w:val="center"/>
              <w:rPr>
                <w:b/>
              </w:rPr>
            </w:pPr>
          </w:p>
          <w:p w:rsidR="003614FF" w:rsidRDefault="003614FF" w:rsidP="00953DB5">
            <w:pPr>
              <w:spacing w:before="120"/>
              <w:jc w:val="center"/>
              <w:rPr>
                <w:b/>
              </w:rPr>
            </w:pPr>
          </w:p>
        </w:tc>
      </w:tr>
      <w:tr w:rsidR="003614FF" w:rsidTr="00953D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Finanšu rekvizīti</w:t>
            </w:r>
          </w:p>
        </w:tc>
      </w:tr>
      <w:tr w:rsidR="003614FF" w:rsidTr="00953DB5">
        <w:trPr>
          <w:cantSplit/>
        </w:trPr>
        <w:tc>
          <w:tcPr>
            <w:tcW w:w="2198" w:type="dxa"/>
            <w:tcBorders>
              <w:top w:val="single" w:sz="4" w:space="0" w:color="auto"/>
              <w:left w:val="nil"/>
              <w:bottom w:val="nil"/>
              <w:right w:val="nil"/>
            </w:tcBorders>
            <w:hideMark/>
          </w:tcPr>
          <w:p w:rsidR="003614FF" w:rsidRDefault="003614FF" w:rsidP="00953DB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Konta numurs:</w:t>
            </w:r>
          </w:p>
        </w:tc>
        <w:tc>
          <w:tcPr>
            <w:tcW w:w="7090" w:type="dxa"/>
            <w:gridSpan w:val="4"/>
            <w:tcBorders>
              <w:top w:val="nil"/>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9288" w:type="dxa"/>
            <w:gridSpan w:val="5"/>
            <w:tcBorders>
              <w:top w:val="nil"/>
              <w:left w:val="nil"/>
              <w:bottom w:val="single" w:sz="4" w:space="0" w:color="auto"/>
              <w:right w:val="nil"/>
            </w:tcBorders>
          </w:tcPr>
          <w:p w:rsidR="003614FF" w:rsidRDefault="003614FF" w:rsidP="00953DB5">
            <w:pPr>
              <w:spacing w:before="120"/>
              <w:jc w:val="center"/>
              <w:rPr>
                <w:b/>
              </w:rPr>
            </w:pPr>
          </w:p>
          <w:p w:rsidR="003614FF" w:rsidRDefault="003614FF" w:rsidP="00953DB5">
            <w:pPr>
              <w:spacing w:before="120"/>
              <w:jc w:val="center"/>
              <w:rPr>
                <w:b/>
              </w:rPr>
            </w:pPr>
          </w:p>
        </w:tc>
      </w:tr>
      <w:tr w:rsidR="003614FF" w:rsidTr="00953D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pretendenta kontaktpersonu (atbildīgo personu)</w:t>
            </w:r>
          </w:p>
        </w:tc>
      </w:tr>
      <w:tr w:rsidR="003614FF" w:rsidTr="00953DB5">
        <w:trPr>
          <w:cantSplit/>
        </w:trPr>
        <w:tc>
          <w:tcPr>
            <w:tcW w:w="2198" w:type="dxa"/>
            <w:hideMark/>
          </w:tcPr>
          <w:p w:rsidR="003614FF" w:rsidRDefault="003614FF" w:rsidP="00953DB5">
            <w:pPr>
              <w:spacing w:before="120"/>
              <w:jc w:val="center"/>
              <w:rPr>
                <w:b/>
              </w:rPr>
            </w:pPr>
            <w:r>
              <w:rPr>
                <w:b/>
              </w:rPr>
              <w:t>Vārds, uzvārds:</w:t>
            </w:r>
          </w:p>
        </w:tc>
        <w:tc>
          <w:tcPr>
            <w:tcW w:w="7090" w:type="dxa"/>
            <w:gridSpan w:val="4"/>
            <w:tcBorders>
              <w:top w:val="nil"/>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614FF" w:rsidRDefault="003614FF" w:rsidP="00953DB5">
            <w:pPr>
              <w:spacing w:before="120"/>
              <w:jc w:val="center"/>
              <w:rPr>
                <w:b/>
              </w:rPr>
            </w:pPr>
          </w:p>
        </w:tc>
        <w:tc>
          <w:tcPr>
            <w:tcW w:w="923" w:type="dxa"/>
            <w:tcBorders>
              <w:top w:val="single" w:sz="4" w:space="0" w:color="auto"/>
              <w:left w:val="nil"/>
              <w:bottom w:val="nil"/>
              <w:right w:val="nil"/>
            </w:tcBorders>
            <w:hideMark/>
          </w:tcPr>
          <w:p w:rsidR="003614FF" w:rsidRDefault="003614FF" w:rsidP="00953DB5">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E-pasta adrese:</w:t>
            </w:r>
          </w:p>
        </w:tc>
        <w:tc>
          <w:tcPr>
            <w:tcW w:w="7090" w:type="dxa"/>
            <w:gridSpan w:val="4"/>
            <w:tcBorders>
              <w:top w:val="nil"/>
              <w:left w:val="nil"/>
              <w:bottom w:val="single" w:sz="4" w:space="0" w:color="auto"/>
              <w:right w:val="nil"/>
            </w:tcBorders>
          </w:tcPr>
          <w:p w:rsidR="003614FF" w:rsidRDefault="003614FF" w:rsidP="00953DB5">
            <w:pPr>
              <w:spacing w:before="120"/>
              <w:jc w:val="center"/>
              <w:rPr>
                <w:b/>
              </w:rPr>
            </w:pPr>
          </w:p>
        </w:tc>
      </w:tr>
    </w:tbl>
    <w:p w:rsidR="003614FF" w:rsidRDefault="003614FF" w:rsidP="003614FF">
      <w:pPr>
        <w:spacing w:after="120"/>
        <w:jc w:val="center"/>
        <w:rPr>
          <w:b/>
        </w:rPr>
      </w:pPr>
    </w:p>
    <w:p w:rsidR="003614FF" w:rsidRDefault="003614FF" w:rsidP="003614FF">
      <w:pPr>
        <w:spacing w:after="120"/>
        <w:jc w:val="center"/>
        <w:rPr>
          <w:b/>
        </w:rPr>
      </w:pPr>
    </w:p>
    <w:p w:rsidR="003614FF" w:rsidRDefault="003614FF" w:rsidP="003614FF"/>
    <w:p w:rsidR="003614FF" w:rsidRDefault="003614FF" w:rsidP="003614FF">
      <w:pPr>
        <w:rPr>
          <w:b/>
          <w:bCs/>
        </w:rPr>
      </w:pPr>
      <w:r>
        <w:rPr>
          <w:b/>
          <w:bCs/>
        </w:rPr>
        <w:t>Ar šo apliecinām, ka visa piedāvājumā iesniegtā informācija ir patiesa.</w:t>
      </w:r>
    </w:p>
    <w:p w:rsidR="003614FF" w:rsidRDefault="003614FF" w:rsidP="003614FF">
      <w:pPr>
        <w:rPr>
          <w:b/>
          <w:bCs/>
        </w:rPr>
      </w:pPr>
    </w:p>
    <w:p w:rsidR="003614FF" w:rsidRDefault="003614FF" w:rsidP="003614FF">
      <w:pPr>
        <w:rPr>
          <w:b/>
          <w:bCs/>
        </w:rPr>
      </w:pPr>
    </w:p>
    <w:p w:rsidR="003614FF" w:rsidRDefault="003614FF" w:rsidP="003614FF">
      <w:pPr>
        <w:rPr>
          <w:b/>
          <w:bCs/>
        </w:rPr>
      </w:pPr>
    </w:p>
    <w:p w:rsidR="003614FF" w:rsidRDefault="003614FF" w:rsidP="003614FF">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614FF" w:rsidTr="00953D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r w:rsidR="003614FF" w:rsidTr="00953D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r w:rsidR="003614FF" w:rsidTr="00953D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r w:rsidR="003614FF" w:rsidTr="00953DB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bl>
    <w:p w:rsidR="003614FF" w:rsidRDefault="003614FF" w:rsidP="003614FF">
      <w:pPr>
        <w:pStyle w:val="Header"/>
        <w:ind w:firstLine="720"/>
      </w:pPr>
    </w:p>
    <w:p w:rsidR="003614FF" w:rsidRDefault="003614FF" w:rsidP="003614FF">
      <w:pPr>
        <w:pStyle w:val="Header"/>
        <w:ind w:firstLine="720"/>
      </w:pPr>
    </w:p>
    <w:p w:rsidR="003614FF" w:rsidRDefault="003614FF" w:rsidP="003614FF">
      <w:pPr>
        <w:pStyle w:val="Header"/>
        <w:ind w:firstLine="720"/>
        <w:rPr>
          <w:color w:val="548DD4"/>
        </w:rPr>
      </w:pPr>
      <w:r>
        <w:rPr>
          <w:lang w:val="lv-LV"/>
        </w:rPr>
        <w:t>Z.v.</w:t>
      </w:r>
    </w:p>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bookmarkEnd w:id="4"/>
    <w:p w:rsidR="003614FF" w:rsidRDefault="003614FF" w:rsidP="00E96E53">
      <w:pPr>
        <w:pStyle w:val="Punkts"/>
        <w:numPr>
          <w:ilvl w:val="0"/>
          <w:numId w:val="0"/>
        </w:numPr>
        <w:tabs>
          <w:tab w:val="left" w:pos="720"/>
        </w:tabs>
        <w:rPr>
          <w:rFonts w:ascii="Times New Roman" w:hAnsi="Times New Roman"/>
        </w:rPr>
      </w:pPr>
    </w:p>
    <w:sectPr w:rsidR="003614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A" w:rsidRDefault="00534B1A" w:rsidP="00016DFA">
      <w:r>
        <w:separator/>
      </w:r>
    </w:p>
  </w:endnote>
  <w:endnote w:type="continuationSeparator" w:id="0">
    <w:p w:rsidR="00534B1A" w:rsidRDefault="00534B1A"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pPr>
      <w:pStyle w:val="Footer"/>
      <w:jc w:val="right"/>
      <w:rPr>
        <w:lang w:val="lv-LV"/>
      </w:rPr>
    </w:pPr>
    <w:r>
      <w:rPr>
        <w:lang w:val="lv-LV"/>
      </w:rPr>
      <w:fldChar w:fldCharType="begin"/>
    </w:r>
    <w:r>
      <w:rPr>
        <w:lang w:val="lv-LV"/>
      </w:rPr>
      <w:instrText xml:space="preserve"> PAGE </w:instrText>
    </w:r>
    <w:r>
      <w:rPr>
        <w:lang w:val="lv-LV"/>
      </w:rPr>
      <w:fldChar w:fldCharType="separate"/>
    </w:r>
    <w:r w:rsidR="00534B1A">
      <w:rPr>
        <w:noProof/>
        <w:lang w:val="lv-LV"/>
      </w:rPr>
      <w:t>1</w:t>
    </w:r>
    <w:r>
      <w:rPr>
        <w:lang w:val="lv-LV"/>
      </w:rPr>
      <w:fldChar w:fldCharType="end"/>
    </w:r>
  </w:p>
  <w:p w:rsidR="003614FF" w:rsidRDefault="003614FF">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A" w:rsidRDefault="00534B1A" w:rsidP="00016DFA">
      <w:r>
        <w:separator/>
      </w:r>
    </w:p>
  </w:footnote>
  <w:footnote w:type="continuationSeparator" w:id="0">
    <w:p w:rsidR="00534B1A" w:rsidRDefault="00534B1A" w:rsidP="00016DFA">
      <w:r>
        <w:continuationSeparator/>
      </w:r>
    </w:p>
  </w:footnote>
  <w:footnote w:id="1">
    <w:p w:rsidR="003614FF" w:rsidRPr="000C3990" w:rsidRDefault="003614FF" w:rsidP="003614FF">
      <w:pPr>
        <w:pStyle w:val="FootnoteText"/>
      </w:pPr>
      <w:r>
        <w:rPr>
          <w:rStyle w:val="FootnoteReference"/>
          <w:rFonts w:eastAsia="Calibri"/>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435D86"/>
    <w:multiLevelType w:val="multilevel"/>
    <w:tmpl w:val="D9D4243E"/>
    <w:lvl w:ilvl="0">
      <w:start w:val="1"/>
      <w:numFmt w:val="decimal"/>
      <w:lvlText w:val="%1."/>
      <w:lvlJc w:val="left"/>
      <w:pPr>
        <w:ind w:left="2487" w:hanging="360"/>
      </w:pPr>
      <w:rPr>
        <w:rFonts w:hint="default"/>
        <w:b/>
        <w:sz w:val="24"/>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0FD33F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8"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9"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A2A27BE"/>
    <w:multiLevelType w:val="hybridMultilevel"/>
    <w:tmpl w:val="B2A87A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C37630"/>
    <w:multiLevelType w:val="hybridMultilevel"/>
    <w:tmpl w:val="9B00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3" w15:restartNumberingAfterBreak="0">
    <w:nsid w:val="44DE2F5A"/>
    <w:multiLevelType w:val="hybridMultilevel"/>
    <w:tmpl w:val="B1FA6A0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497C5263"/>
    <w:multiLevelType w:val="hybridMultilevel"/>
    <w:tmpl w:val="975E5F2C"/>
    <w:lvl w:ilvl="0" w:tplc="133E94F2">
      <w:start w:val="1"/>
      <w:numFmt w:val="decimal"/>
      <w:lvlText w:val="%1."/>
      <w:lvlJc w:val="left"/>
      <w:pPr>
        <w:ind w:left="720" w:hanging="360"/>
      </w:pPr>
      <w:rPr>
        <w:rFonts w:ascii="Calibri" w:hAnsi="Calibri" w:cs="Calibr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6" w15:restartNumberingAfterBreak="0">
    <w:nsid w:val="54E46492"/>
    <w:multiLevelType w:val="hybridMultilevel"/>
    <w:tmpl w:val="118A2FE0"/>
    <w:lvl w:ilvl="0" w:tplc="04260017">
      <w:start w:val="1"/>
      <w:numFmt w:val="lowerLetter"/>
      <w:lvlText w:val="%1)"/>
      <w:lvlJc w:val="left"/>
      <w:pPr>
        <w:ind w:left="1931" w:hanging="360"/>
      </w:pPr>
      <w:rPr>
        <w:rFonts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7"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941FEC"/>
    <w:multiLevelType w:val="hybridMultilevel"/>
    <w:tmpl w:val="3D241B7A"/>
    <w:lvl w:ilvl="0" w:tplc="A1DC06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0"/>
  </w:num>
  <w:num w:numId="18">
    <w:abstractNumId w:val="18"/>
  </w:num>
  <w:num w:numId="19">
    <w:abstractNumId w:val="14"/>
  </w:num>
  <w:num w:numId="20">
    <w:abstractNumId w:val="11"/>
  </w:num>
  <w:num w:numId="21">
    <w:abstractNumId w:val="5"/>
  </w:num>
  <w:num w:numId="22">
    <w:abstractNumId w:val="15"/>
  </w:num>
  <w:num w:numId="23">
    <w:abstractNumId w:val="16"/>
  </w:num>
  <w:num w:numId="24">
    <w:abstractNumId w:val="6"/>
  </w:num>
  <w:num w:numId="25">
    <w:abstractNumId w:val="8"/>
  </w:num>
  <w:num w:numId="26">
    <w:abstractNumId w:val="10"/>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01E19"/>
    <w:rsid w:val="0001194D"/>
    <w:rsid w:val="00016DFA"/>
    <w:rsid w:val="00033776"/>
    <w:rsid w:val="00095650"/>
    <w:rsid w:val="000B3EFC"/>
    <w:rsid w:val="000C40D3"/>
    <w:rsid w:val="000D4158"/>
    <w:rsid w:val="000F646A"/>
    <w:rsid w:val="001204E3"/>
    <w:rsid w:val="00137207"/>
    <w:rsid w:val="001432E7"/>
    <w:rsid w:val="001618E6"/>
    <w:rsid w:val="0016291D"/>
    <w:rsid w:val="001645A8"/>
    <w:rsid w:val="0017555A"/>
    <w:rsid w:val="00192340"/>
    <w:rsid w:val="001B772F"/>
    <w:rsid w:val="002342E7"/>
    <w:rsid w:val="00235D0E"/>
    <w:rsid w:val="00255C2A"/>
    <w:rsid w:val="0026453F"/>
    <w:rsid w:val="002925E9"/>
    <w:rsid w:val="00300FB5"/>
    <w:rsid w:val="003567F3"/>
    <w:rsid w:val="00360ACF"/>
    <w:rsid w:val="003614FF"/>
    <w:rsid w:val="00370B73"/>
    <w:rsid w:val="00386D07"/>
    <w:rsid w:val="00387B39"/>
    <w:rsid w:val="003B6F98"/>
    <w:rsid w:val="003E1D2D"/>
    <w:rsid w:val="00411998"/>
    <w:rsid w:val="00471828"/>
    <w:rsid w:val="00476F90"/>
    <w:rsid w:val="00485B30"/>
    <w:rsid w:val="004931DC"/>
    <w:rsid w:val="00495792"/>
    <w:rsid w:val="004D31E8"/>
    <w:rsid w:val="004E5194"/>
    <w:rsid w:val="00534B1A"/>
    <w:rsid w:val="005466B7"/>
    <w:rsid w:val="00551A36"/>
    <w:rsid w:val="00585574"/>
    <w:rsid w:val="00591EAB"/>
    <w:rsid w:val="005E0F19"/>
    <w:rsid w:val="00613D19"/>
    <w:rsid w:val="00623A6E"/>
    <w:rsid w:val="00630256"/>
    <w:rsid w:val="00632F79"/>
    <w:rsid w:val="00643F64"/>
    <w:rsid w:val="00647B1B"/>
    <w:rsid w:val="006618A5"/>
    <w:rsid w:val="00670A9A"/>
    <w:rsid w:val="00676C1B"/>
    <w:rsid w:val="006B5CB9"/>
    <w:rsid w:val="00713A94"/>
    <w:rsid w:val="007252EF"/>
    <w:rsid w:val="00741683"/>
    <w:rsid w:val="00750E17"/>
    <w:rsid w:val="007619B3"/>
    <w:rsid w:val="007C056A"/>
    <w:rsid w:val="007C36F4"/>
    <w:rsid w:val="007E0C66"/>
    <w:rsid w:val="007E4852"/>
    <w:rsid w:val="008006BC"/>
    <w:rsid w:val="0085185D"/>
    <w:rsid w:val="00886BB3"/>
    <w:rsid w:val="00896C86"/>
    <w:rsid w:val="008B36A0"/>
    <w:rsid w:val="008C37BC"/>
    <w:rsid w:val="00910E5E"/>
    <w:rsid w:val="009325C9"/>
    <w:rsid w:val="00936445"/>
    <w:rsid w:val="009615E7"/>
    <w:rsid w:val="00962240"/>
    <w:rsid w:val="00981962"/>
    <w:rsid w:val="009827DA"/>
    <w:rsid w:val="009835D0"/>
    <w:rsid w:val="00994FA9"/>
    <w:rsid w:val="009C073A"/>
    <w:rsid w:val="009C5922"/>
    <w:rsid w:val="009D27EF"/>
    <w:rsid w:val="009E6A8A"/>
    <w:rsid w:val="009F5AAE"/>
    <w:rsid w:val="00A03147"/>
    <w:rsid w:val="00A30174"/>
    <w:rsid w:val="00A36754"/>
    <w:rsid w:val="00A66E83"/>
    <w:rsid w:val="00A87BE9"/>
    <w:rsid w:val="00A94508"/>
    <w:rsid w:val="00AA2540"/>
    <w:rsid w:val="00AD5543"/>
    <w:rsid w:val="00AE2161"/>
    <w:rsid w:val="00AF0E02"/>
    <w:rsid w:val="00B24414"/>
    <w:rsid w:val="00B32783"/>
    <w:rsid w:val="00B349F4"/>
    <w:rsid w:val="00B472D4"/>
    <w:rsid w:val="00B50613"/>
    <w:rsid w:val="00B610E7"/>
    <w:rsid w:val="00B6152C"/>
    <w:rsid w:val="00B83A59"/>
    <w:rsid w:val="00BC3595"/>
    <w:rsid w:val="00BD750F"/>
    <w:rsid w:val="00C11681"/>
    <w:rsid w:val="00C251CD"/>
    <w:rsid w:val="00C74D25"/>
    <w:rsid w:val="00CB2E61"/>
    <w:rsid w:val="00CE4FA0"/>
    <w:rsid w:val="00D07022"/>
    <w:rsid w:val="00D12D3C"/>
    <w:rsid w:val="00D41C42"/>
    <w:rsid w:val="00D444D7"/>
    <w:rsid w:val="00D53BD6"/>
    <w:rsid w:val="00D61F4D"/>
    <w:rsid w:val="00D75D95"/>
    <w:rsid w:val="00D77981"/>
    <w:rsid w:val="00D878FD"/>
    <w:rsid w:val="00D91B53"/>
    <w:rsid w:val="00D940E9"/>
    <w:rsid w:val="00DA031F"/>
    <w:rsid w:val="00DB2ECE"/>
    <w:rsid w:val="00DD4634"/>
    <w:rsid w:val="00E06EAF"/>
    <w:rsid w:val="00E35BB6"/>
    <w:rsid w:val="00E542E3"/>
    <w:rsid w:val="00E96E53"/>
    <w:rsid w:val="00EA7742"/>
    <w:rsid w:val="00ED6E01"/>
    <w:rsid w:val="00F25736"/>
    <w:rsid w:val="00F31EF0"/>
    <w:rsid w:val="00F53DFC"/>
    <w:rsid w:val="00F627E2"/>
    <w:rsid w:val="00F96D1D"/>
    <w:rsid w:val="00FA0AE1"/>
    <w:rsid w:val="00FA10AE"/>
    <w:rsid w:val="00FA4C08"/>
    <w:rsid w:val="00FB0140"/>
    <w:rsid w:val="00FB728F"/>
    <w:rsid w:val="00FD58D5"/>
    <w:rsid w:val="00FD7E71"/>
    <w:rsid w:val="00FE2DF5"/>
    <w:rsid w:val="00FE371D"/>
    <w:rsid w:val="00FE43B4"/>
    <w:rsid w:val="00FF6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89D07-5D28-48F4-AC00-EF5FC32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unhideWhenUsed/>
    <w:rsid w:val="00016DFA"/>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16D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16DFA"/>
    <w:pPr>
      <w:tabs>
        <w:tab w:val="center" w:pos="4153"/>
        <w:tab w:val="right" w:pos="8306"/>
      </w:tabs>
    </w:pPr>
    <w:rPr>
      <w:lang w:val="x-none"/>
    </w:rPr>
  </w:style>
  <w:style w:type="character" w:customStyle="1" w:styleId="HeaderChar">
    <w:name w:val="Header Char"/>
    <w:basedOn w:val="DefaultParagraphFont"/>
    <w:link w:val="Header"/>
    <w:uiPriority w:val="99"/>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016DFA"/>
    <w:rPr>
      <w:rFonts w:ascii="Calibri" w:eastAsia="Calibri" w:hAnsi="Calibri"/>
      <w:lang w:eastAsia="ar-SA"/>
    </w:rPr>
  </w:style>
  <w:style w:type="paragraph" w:styleId="ListParagraph">
    <w:name w:val="List Paragraph"/>
    <w:basedOn w:val="Normal"/>
    <w:link w:val="ListParagraphChar"/>
    <w:uiPriority w:val="34"/>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 w:type="paragraph" w:styleId="Footer">
    <w:name w:val="footer"/>
    <w:basedOn w:val="Normal"/>
    <w:link w:val="FooterChar"/>
    <w:rsid w:val="003614FF"/>
    <w:pPr>
      <w:tabs>
        <w:tab w:val="center" w:pos="4153"/>
        <w:tab w:val="right" w:pos="8306"/>
      </w:tabs>
    </w:pPr>
    <w:rPr>
      <w:lang w:val="x-none"/>
    </w:rPr>
  </w:style>
  <w:style w:type="character" w:customStyle="1" w:styleId="FooterChar">
    <w:name w:val="Footer Char"/>
    <w:basedOn w:val="DefaultParagraphFont"/>
    <w:link w:val="Footer"/>
    <w:rsid w:val="003614FF"/>
    <w:rPr>
      <w:rFonts w:ascii="Times New Roman" w:eastAsia="Calibri" w:hAnsi="Times New Roman" w:cs="Times New Roman"/>
      <w:sz w:val="24"/>
      <w:szCs w:val="24"/>
      <w:lang w:val="x-none" w:eastAsia="ar-SA"/>
    </w:rPr>
  </w:style>
  <w:style w:type="paragraph" w:customStyle="1" w:styleId="txt1">
    <w:name w:val="txt1"/>
    <w:rsid w:val="003614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odyTextIndent">
    <w:name w:val="Body Text Indent"/>
    <w:basedOn w:val="Normal"/>
    <w:link w:val="BodyTextIndentChar"/>
    <w:rsid w:val="00713A94"/>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713A94"/>
    <w:rPr>
      <w:rFonts w:ascii="Times New Roman" w:eastAsia="Times New Roman" w:hAnsi="Times New Roman" w:cs="Times New Roman"/>
      <w:sz w:val="24"/>
      <w:szCs w:val="24"/>
      <w:lang w:eastAsia="lv-LV"/>
    </w:rPr>
  </w:style>
  <w:style w:type="character" w:customStyle="1" w:styleId="FontStyle11">
    <w:name w:val="Font Style11"/>
    <w:uiPriority w:val="99"/>
    <w:rsid w:val="00137207"/>
    <w:rPr>
      <w:rFonts w:ascii="Calibri" w:hAnsi="Calibri" w:cs="Calibri"/>
      <w:b/>
      <w:bCs/>
      <w:color w:val="000000"/>
      <w:sz w:val="26"/>
      <w:szCs w:val="26"/>
    </w:rPr>
  </w:style>
  <w:style w:type="paragraph" w:customStyle="1" w:styleId="ListParagraph1">
    <w:name w:val="List Paragraph1"/>
    <w:basedOn w:val="Normal"/>
    <w:rsid w:val="00137207"/>
    <w:pPr>
      <w:suppressAutoHyphens w:val="0"/>
      <w:ind w:left="720"/>
      <w:jc w:val="left"/>
    </w:pPr>
    <w:rPr>
      <w:rFonts w:eastAsia="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bruvers@adaz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na.liepina-jakobsone@adazi.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96C4-2883-4CC6-B0CC-5F2F05EE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6518</Words>
  <Characters>3716</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9</cp:revision>
  <dcterms:created xsi:type="dcterms:W3CDTF">2018-04-09T12:40:00Z</dcterms:created>
  <dcterms:modified xsi:type="dcterms:W3CDTF">2018-04-17T09:49:00Z</dcterms:modified>
</cp:coreProperties>
</file>