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Default="00E13050" w:rsidP="0015127C">
      <w:pPr>
        <w:shd w:val="clear" w:color="auto" w:fill="C2D69B" w:themeFill="accent3" w:themeFillTint="99"/>
        <w:jc w:val="center"/>
        <w:rPr>
          <w:b/>
          <w:sz w:val="28"/>
          <w:szCs w:val="28"/>
        </w:rPr>
      </w:pPr>
      <w:r>
        <w:rPr>
          <w:b/>
          <w:sz w:val="32"/>
          <w:szCs w:val="32"/>
        </w:rPr>
        <w:t>“</w:t>
      </w:r>
      <w:r>
        <w:rPr>
          <w:b/>
          <w:sz w:val="32"/>
          <w:szCs w:val="32"/>
        </w:rPr>
        <w:t>Sarunu procedūra - GAUJAS IELAS A LIETUS ŪDENS KANALIZĀCIJAS TĪKLU IZBŪVE</w:t>
      </w:r>
      <w:r w:rsidR="00272811">
        <w:rPr>
          <w:b/>
          <w:sz w:val="28"/>
          <w:szCs w:val="28"/>
        </w:rPr>
        <w:t>”</w:t>
      </w:r>
    </w:p>
    <w:p w:rsidR="00272811" w:rsidRDefault="007D422C" w:rsidP="0015127C">
      <w:pPr>
        <w:shd w:val="clear" w:color="auto" w:fill="C2D69B" w:themeFill="accent3" w:themeFillTint="99"/>
        <w:jc w:val="center"/>
        <w:rPr>
          <w:b/>
          <w:sz w:val="28"/>
          <w:szCs w:val="28"/>
        </w:rPr>
      </w:pPr>
      <w:r>
        <w:rPr>
          <w:b/>
          <w:sz w:val="28"/>
          <w:szCs w:val="28"/>
        </w:rPr>
        <w:t>(ID.Nr. ĀND 201</w:t>
      </w:r>
      <w:r w:rsidR="00A858D7">
        <w:rPr>
          <w:b/>
          <w:sz w:val="28"/>
          <w:szCs w:val="28"/>
        </w:rPr>
        <w:t>7/</w:t>
      </w:r>
      <w:r w:rsidR="00E13050">
        <w:rPr>
          <w:b/>
          <w:sz w:val="28"/>
          <w:szCs w:val="28"/>
        </w:rPr>
        <w:t>82</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7D422C">
        <w:rPr>
          <w:b/>
        </w:rPr>
        <w:t xml:space="preserve"> Nr.05-30-201</w:t>
      </w:r>
      <w:r w:rsidR="00A858D7">
        <w:rPr>
          <w:b/>
        </w:rPr>
        <w:t>7</w:t>
      </w:r>
      <w:r w:rsidR="007D422C">
        <w:rPr>
          <w:b/>
        </w:rPr>
        <w:t>/</w:t>
      </w:r>
      <w:r w:rsidR="00E13050">
        <w:rPr>
          <w:b/>
        </w:rPr>
        <w:t>82</w:t>
      </w:r>
      <w:r w:rsidR="006B2C5B">
        <w:rPr>
          <w:b/>
        </w:rPr>
        <w:t>-</w:t>
      </w:r>
      <w:r>
        <w:rPr>
          <w:b/>
        </w:rPr>
        <w:t>1</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6208C5" w:rsidP="00E13050">
            <w:pPr>
              <w:jc w:val="right"/>
            </w:pPr>
            <w:r>
              <w:rPr>
                <w:b/>
              </w:rPr>
              <w:t>201</w:t>
            </w:r>
            <w:r w:rsidR="00A858D7">
              <w:rPr>
                <w:b/>
              </w:rPr>
              <w:t>7</w:t>
            </w:r>
            <w:r w:rsidR="002716BB">
              <w:rPr>
                <w:b/>
              </w:rPr>
              <w:t xml:space="preserve">. gada </w:t>
            </w:r>
            <w:r w:rsidR="00F62D8A">
              <w:rPr>
                <w:b/>
              </w:rPr>
              <w:t>19</w:t>
            </w:r>
            <w:r w:rsidR="006A530C">
              <w:rPr>
                <w:b/>
              </w:rPr>
              <w:t>.</w:t>
            </w:r>
            <w:r w:rsidR="00E13050">
              <w:rPr>
                <w:b/>
              </w:rPr>
              <w:t>jūnijā</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913B55">
        <w:rPr>
          <w:sz w:val="24"/>
        </w:rPr>
        <w:t xml:space="preserve"> plkst. 1</w:t>
      </w:r>
      <w:r w:rsidR="00A858D7">
        <w:rPr>
          <w:sz w:val="24"/>
        </w:rPr>
        <w:t>0</w:t>
      </w:r>
      <w:r>
        <w:rPr>
          <w:sz w:val="24"/>
        </w:rPr>
        <w:t>.00.</w:t>
      </w:r>
    </w:p>
    <w:p w:rsidR="00272811" w:rsidRDefault="00272811" w:rsidP="00272811">
      <w:pPr>
        <w:jc w:val="both"/>
        <w:rPr>
          <w:b/>
          <w:bCs/>
        </w:rPr>
      </w:pP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272811" w:rsidTr="00272811">
        <w:tc>
          <w:tcPr>
            <w:tcW w:w="3060" w:type="dxa"/>
          </w:tcPr>
          <w:p w:rsidR="00272811" w:rsidRDefault="00272811">
            <w:pPr>
              <w:ind w:left="72" w:right="-694"/>
              <w:jc w:val="both"/>
            </w:pPr>
            <w:r>
              <w:t xml:space="preserve">Komisijas priekšsēdētājs: </w:t>
            </w:r>
          </w:p>
          <w:p w:rsidR="00272811" w:rsidRDefault="00272811">
            <w:pPr>
              <w:ind w:left="72" w:right="-694"/>
              <w:jc w:val="both"/>
            </w:pPr>
            <w:r>
              <w:t>Komisijas locekļi:</w:t>
            </w:r>
          </w:p>
          <w:p w:rsidR="00272811" w:rsidRDefault="00272811">
            <w:pPr>
              <w:ind w:left="72" w:right="-694"/>
              <w:jc w:val="both"/>
            </w:pPr>
          </w:p>
          <w:p w:rsidR="00381801" w:rsidRDefault="00381801">
            <w:pPr>
              <w:ind w:left="72" w:right="-694"/>
              <w:jc w:val="both"/>
            </w:pPr>
          </w:p>
          <w:p w:rsidR="00A858D7" w:rsidRDefault="00A858D7">
            <w:pPr>
              <w:ind w:left="72" w:right="-694"/>
              <w:jc w:val="both"/>
            </w:pPr>
          </w:p>
          <w:p w:rsidR="00D15748" w:rsidRDefault="00D15748">
            <w:pPr>
              <w:ind w:left="72" w:right="-694"/>
              <w:jc w:val="both"/>
            </w:pPr>
          </w:p>
        </w:tc>
        <w:tc>
          <w:tcPr>
            <w:tcW w:w="4680" w:type="dxa"/>
            <w:hideMark/>
          </w:tcPr>
          <w:p w:rsidR="006B68BA" w:rsidRDefault="00272811" w:rsidP="00C93910">
            <w:pPr>
              <w:ind w:right="-694"/>
              <w:jc w:val="both"/>
            </w:pPr>
            <w:r>
              <w:t>Artis Brūvers</w:t>
            </w:r>
          </w:p>
          <w:p w:rsidR="00E33CFC" w:rsidRDefault="0009587F">
            <w:pPr>
              <w:jc w:val="both"/>
            </w:pPr>
            <w:r>
              <w:t xml:space="preserve">Uģis </w:t>
            </w:r>
            <w:r w:rsidR="00A858D7">
              <w:t>Dambis</w:t>
            </w:r>
          </w:p>
          <w:p w:rsidR="00B23A4F" w:rsidRDefault="00B23A4F">
            <w:pPr>
              <w:jc w:val="both"/>
            </w:pPr>
            <w:r>
              <w:t>Everita Kāpa</w:t>
            </w:r>
          </w:p>
          <w:p w:rsidR="00B23A4F" w:rsidRDefault="00B23A4F">
            <w:pPr>
              <w:jc w:val="both"/>
            </w:pPr>
            <w:r>
              <w:t>Rita Šteina</w:t>
            </w:r>
          </w:p>
          <w:p w:rsidR="00381801" w:rsidRDefault="00B23A4F">
            <w:pPr>
              <w:jc w:val="both"/>
            </w:pPr>
            <w:r>
              <w:t>Halfors Krasts</w:t>
            </w:r>
          </w:p>
          <w:p w:rsidR="007D6D21" w:rsidRDefault="00A858D7" w:rsidP="00F62D8A">
            <w:pPr>
              <w:jc w:val="both"/>
            </w:pPr>
            <w:r>
              <w:t>Valērijs Bulāns</w:t>
            </w:r>
          </w:p>
          <w:p w:rsidR="00F62D8A" w:rsidRDefault="00F62D8A" w:rsidP="00F62D8A">
            <w:pPr>
              <w:jc w:val="both"/>
            </w:pPr>
          </w:p>
        </w:tc>
      </w:tr>
    </w:tbl>
    <w:p w:rsidR="00272811" w:rsidRDefault="00272811" w:rsidP="00272811">
      <w:pPr>
        <w:rPr>
          <w:b/>
        </w:rPr>
      </w:pPr>
      <w:r>
        <w:rPr>
          <w:b/>
        </w:rPr>
        <w:t xml:space="preserve">Komisijas izveides pamats: </w:t>
      </w:r>
    </w:p>
    <w:p w:rsidR="00EC72D9" w:rsidRDefault="00EC72D9" w:rsidP="00EC72D9">
      <w:pPr>
        <w:ind w:left="709" w:right="26"/>
        <w:jc w:val="both"/>
      </w:pPr>
      <w:r>
        <w:t xml:space="preserve">Ādažu novada domes 2013.gada 24.septembra </w:t>
      </w:r>
      <w:smartTag w:uri="schemas-tilde-lv/tildestengine" w:element="veidnes">
        <w:smartTagPr>
          <w:attr w:name="text" w:val="lēmums"/>
          <w:attr w:name="baseform" w:val="lēmums"/>
          <w:attr w:name="id" w:val="-1"/>
        </w:smartTagPr>
        <w:r>
          <w:t>lēmums</w:t>
        </w:r>
      </w:smartTag>
      <w:r>
        <w:t xml:space="preserve"> Nr. 215. un Ādažu novada domes 2014.gada 28.jūlija ārkārtas domes sēdes lēmums Nr. 17§ 2.</w:t>
      </w:r>
    </w:p>
    <w:p w:rsidR="00EC72D9" w:rsidRDefault="00EC72D9" w:rsidP="00EC72D9">
      <w:pPr>
        <w:ind w:left="709" w:right="26"/>
        <w:jc w:val="both"/>
        <w:rPr>
          <w:color w:val="FF0000"/>
        </w:rPr>
      </w:pPr>
    </w:p>
    <w:p w:rsidR="00272811" w:rsidRDefault="00272811" w:rsidP="00272811">
      <w:pPr>
        <w:jc w:val="both"/>
      </w:pPr>
      <w:r>
        <w:rPr>
          <w:b/>
          <w:bCs/>
        </w:rPr>
        <w:t>Darba kārtībā:</w:t>
      </w:r>
    </w:p>
    <w:p w:rsidR="00272811" w:rsidRDefault="00272811" w:rsidP="00272811">
      <w:pPr>
        <w:tabs>
          <w:tab w:val="left" w:pos="993"/>
        </w:tabs>
        <w:ind w:left="709"/>
        <w:jc w:val="both"/>
      </w:pPr>
      <w:r>
        <w:t xml:space="preserve">Iepirkuma </w:t>
      </w:r>
      <w:r w:rsidR="00E13050">
        <w:t>“</w:t>
      </w:r>
      <w:r w:rsidR="00E13050" w:rsidRPr="00E13050">
        <w:t>Sarunu procedūra - GAUJAS IELAS A LIETUS ŪDENS KANALIZĀCIJAS TĪKLU IZBŪVE</w:t>
      </w:r>
      <w:r w:rsidR="00E13050">
        <w:t>”</w:t>
      </w:r>
      <w:r w:rsidR="00E77527">
        <w:t xml:space="preserve"> </w:t>
      </w:r>
      <w:r w:rsidR="006208C5">
        <w:t>(ID.Nr.: ĀND 201</w:t>
      </w:r>
      <w:r w:rsidR="00E06F4A">
        <w:t>7</w:t>
      </w:r>
      <w:r w:rsidR="006B68BA">
        <w:t>/</w:t>
      </w:r>
      <w:r w:rsidR="00E13050">
        <w:t>82</w:t>
      </w:r>
      <w:r>
        <w:t>) dokumentācijas apstiprināšana.</w:t>
      </w:r>
    </w:p>
    <w:p w:rsidR="000C31E3" w:rsidRDefault="000C31E3" w:rsidP="00272811">
      <w:pPr>
        <w:tabs>
          <w:tab w:val="left" w:pos="993"/>
        </w:tabs>
        <w:ind w:left="709"/>
        <w:jc w:val="both"/>
        <w:rPr>
          <w:b/>
        </w:rPr>
      </w:pPr>
    </w:p>
    <w:p w:rsidR="00272811" w:rsidRDefault="00272811" w:rsidP="00272811">
      <w:pPr>
        <w:jc w:val="both"/>
        <w:rPr>
          <w:b/>
        </w:rPr>
      </w:pPr>
      <w:r>
        <w:rPr>
          <w:b/>
        </w:rPr>
        <w:t>Darba gaita:</w:t>
      </w:r>
    </w:p>
    <w:p w:rsidR="00342448" w:rsidRDefault="00E33CFC" w:rsidP="00342448">
      <w:pPr>
        <w:pStyle w:val="ListParagraph"/>
        <w:numPr>
          <w:ilvl w:val="0"/>
          <w:numId w:val="3"/>
        </w:numPr>
        <w:ind w:left="709" w:hanging="709"/>
        <w:jc w:val="both"/>
      </w:pPr>
      <w:r>
        <w:t>R. Šteina</w:t>
      </w:r>
      <w:r w:rsidR="00272811">
        <w:t xml:space="preserve"> iesniedz iepirkuma </w:t>
      </w:r>
      <w:r w:rsidR="00E13050">
        <w:t>“</w:t>
      </w:r>
      <w:r w:rsidR="00E13050" w:rsidRPr="00E13050">
        <w:t>Sarunu procedūra - GAUJAS IELAS A LIETUS ŪDENS KANALIZĀCIJAS TĪKLU IZBŪVE</w:t>
      </w:r>
      <w:r w:rsidR="00E13050">
        <w:t>” (ID.Nr.: ĀND 2017/82)</w:t>
      </w:r>
      <w:r w:rsidR="00863C22">
        <w:t xml:space="preserve"> </w:t>
      </w:r>
      <w:r w:rsidR="00272811">
        <w:t xml:space="preserve">nolikuma projektu un priekšlikumus par </w:t>
      </w:r>
      <w:r w:rsidR="00971BFE">
        <w:t>uzaicinājuma nosūtīšana</w:t>
      </w:r>
      <w:r w:rsidR="00272811">
        <w:t>s un piedāvājumu iesniegšanas termiņiem.</w:t>
      </w:r>
      <w:r w:rsidR="00023654">
        <w:t xml:space="preserve"> </w:t>
      </w:r>
    </w:p>
    <w:p w:rsidR="005318B5" w:rsidRDefault="00342448" w:rsidP="005318B5">
      <w:pPr>
        <w:pStyle w:val="ListParagraph"/>
        <w:numPr>
          <w:ilvl w:val="0"/>
          <w:numId w:val="3"/>
        </w:numPr>
        <w:ind w:left="709" w:hanging="709"/>
        <w:jc w:val="both"/>
      </w:pPr>
      <w:r>
        <w:t xml:space="preserve">R.Šteina ziņo, ka iepirkums tiek veikts atbilstoši Publisko iepirkumu likuma </w:t>
      </w:r>
      <w:r w:rsidR="003A089E">
        <w:t>9.panta 21.daļas 1)</w:t>
      </w:r>
      <w:r w:rsidR="006B42A4">
        <w:t xml:space="preserve"> </w:t>
      </w:r>
      <w:r w:rsidR="003A089E">
        <w:t>apakšpunktā paredzētajam izņēmumam, jo iepirkums atbilst likuma</w:t>
      </w:r>
      <w:r w:rsidR="00250457">
        <w:t xml:space="preserve"> </w:t>
      </w:r>
      <w:r w:rsidR="00E06F4A" w:rsidRPr="00212F57">
        <w:t xml:space="preserve">8.panta septītās daļas </w:t>
      </w:r>
      <w:r w:rsidR="002B001D">
        <w:t>3</w:t>
      </w:r>
      <w:r w:rsidR="00E06F4A" w:rsidRPr="00212F57">
        <w:t>.punkta nosacījumiem</w:t>
      </w:r>
      <w:r w:rsidR="002B001D">
        <w:t xml:space="preserve"> – iepirkums ir organizējams, lai iespējami īsā laikā novērstu ārkārtas apstākļus un radušos steidzamību Gaujas ielas</w:t>
      </w:r>
      <w:r w:rsidR="002B001D" w:rsidRPr="00E13050">
        <w:t xml:space="preserve"> A</w:t>
      </w:r>
      <w:r w:rsidR="002B001D">
        <w:t xml:space="preserve"> izbūves projektā, kurā pamatdarbu izpildes termiņš ir 2017.gada 31.</w:t>
      </w:r>
      <w:r w:rsidR="006B42A4">
        <w:t xml:space="preserve">jūlijs (pamatdarbus objektā veic </w:t>
      </w:r>
      <w:r w:rsidR="006B42A4" w:rsidRPr="00212F57">
        <w:t>konkursā „</w:t>
      </w:r>
      <w:r w:rsidR="006B42A4" w:rsidRPr="00212F57">
        <w:rPr>
          <w:caps/>
        </w:rPr>
        <w:t>GAUJAS IELAS a Ādažos PĀRBŪVES BŪVPROJEKTA IZSTRĀDE UN BŪVDARBI</w:t>
      </w:r>
      <w:r w:rsidR="006B42A4" w:rsidRPr="00212F57">
        <w:t>” (ID.Nr.: ĀND 2016/93) noteikt</w:t>
      </w:r>
      <w:r w:rsidR="006B42A4">
        <w:t>ais</w:t>
      </w:r>
      <w:r w:rsidR="006B42A4" w:rsidRPr="00212F57">
        <w:t xml:space="preserve"> uzvarētāj</w:t>
      </w:r>
      <w:r w:rsidR="006B42A4">
        <w:t>s</w:t>
      </w:r>
      <w:r w:rsidR="006B42A4" w:rsidRPr="00212F57">
        <w:t xml:space="preserve"> - SIA „MONUM”</w:t>
      </w:r>
      <w:r w:rsidR="006B42A4">
        <w:t>).</w:t>
      </w:r>
    </w:p>
    <w:p w:rsidR="00286E6A" w:rsidRDefault="00C76E4E" w:rsidP="00286E6A">
      <w:pPr>
        <w:pStyle w:val="ListParagraph"/>
        <w:numPr>
          <w:ilvl w:val="0"/>
          <w:numId w:val="3"/>
        </w:numPr>
        <w:ind w:left="709" w:hanging="709"/>
        <w:jc w:val="both"/>
      </w:pPr>
      <w:r>
        <w:t>A</w:t>
      </w:r>
      <w:r w:rsidR="00286E6A">
        <w:t xml:space="preserve">.Brūvers ziņo par faktiskajiem apstākļiem: </w:t>
      </w:r>
    </w:p>
    <w:p w:rsidR="00286E6A" w:rsidRDefault="00286E6A" w:rsidP="00110721">
      <w:pPr>
        <w:pStyle w:val="ListParagraph"/>
        <w:numPr>
          <w:ilvl w:val="0"/>
          <w:numId w:val="6"/>
        </w:numPr>
        <w:shd w:val="clear" w:color="auto" w:fill="D6E3BC" w:themeFill="accent3" w:themeFillTint="66"/>
        <w:ind w:hanging="720"/>
        <w:jc w:val="both"/>
      </w:pPr>
      <w:r>
        <w:t xml:space="preserve">Izsludinot Gaujas ielas projektēšanu un būvniecību, netika </w:t>
      </w:r>
      <w:r w:rsidR="0081238F">
        <w:t>paredzēts</w:t>
      </w:r>
      <w:r>
        <w:t xml:space="preserve">, ka pie projektējamās ielas tiks pieslēgti 2 jaunie projekti – Attekas ielas turpinājums un Jaunā skola, kurus uzsāka projektēt pēc Gaujas ielas projekta un kuriem nebija zināms </w:t>
      </w:r>
      <w:r w:rsidR="0081238F">
        <w:t xml:space="preserve">novadāmā </w:t>
      </w:r>
      <w:r>
        <w:t xml:space="preserve">lietus ūdens daudzums. </w:t>
      </w:r>
      <w:r w:rsidR="0081238F">
        <w:t xml:space="preserve">Plānojot šo objektu </w:t>
      </w:r>
      <w:r w:rsidR="0081238F">
        <w:lastRenderedPageBreak/>
        <w:t xml:space="preserve">pieslēgšanu </w:t>
      </w:r>
      <w:r>
        <w:t>Gaujas ielai, esošais (vecais) lietus ūdens kanalizācija</w:t>
      </w:r>
      <w:r w:rsidR="0081238F">
        <w:t>s vads ar diametru 250 mm</w:t>
      </w:r>
      <w:r>
        <w:t xml:space="preserve"> nevar paņemt šādu </w:t>
      </w:r>
      <w:r w:rsidR="0081238F">
        <w:t xml:space="preserve">notekūdeņu </w:t>
      </w:r>
      <w:r>
        <w:t>daudzumu</w:t>
      </w:r>
      <w:r w:rsidR="00C3199B">
        <w:t>;</w:t>
      </w:r>
    </w:p>
    <w:p w:rsidR="00C3199B" w:rsidRDefault="008A77A7" w:rsidP="00110721">
      <w:pPr>
        <w:pStyle w:val="ListParagraph"/>
        <w:numPr>
          <w:ilvl w:val="0"/>
          <w:numId w:val="6"/>
        </w:numPr>
        <w:shd w:val="clear" w:color="auto" w:fill="D6E3BC" w:themeFill="accent3" w:themeFillTint="66"/>
        <w:ind w:hanging="720"/>
      </w:pPr>
      <w:r>
        <w:t xml:space="preserve">Pašā </w:t>
      </w:r>
      <w:r w:rsidR="00286E6A">
        <w:t>Gaujas ielas projektā</w:t>
      </w:r>
      <w:r>
        <w:t xml:space="preserve"> sākotnēji</w:t>
      </w:r>
      <w:r w:rsidR="00286E6A">
        <w:t xml:space="preserve"> bija paredzēts savākt lietus ūdeni tikai no Gaujas ielas un novadīt līdz Gaujai pa esošo lietus ūdens cauruli. Projekta gala versijā Gaujas ielas lietus ūdens kanalizācija savāc ūdeni no blakus esošām teritorijām un no 2 jaunajiem objektiem, kuriem nav citas vi</w:t>
      </w:r>
      <w:r w:rsidR="00C3199B">
        <w:t>etas, kur novadīt lietus ūdeni;</w:t>
      </w:r>
    </w:p>
    <w:p w:rsidR="00C3199B" w:rsidRDefault="00C3199B" w:rsidP="00110721">
      <w:pPr>
        <w:pStyle w:val="ListParagraph"/>
        <w:numPr>
          <w:ilvl w:val="0"/>
          <w:numId w:val="6"/>
        </w:numPr>
        <w:shd w:val="clear" w:color="auto" w:fill="D6E3BC" w:themeFill="accent3" w:themeFillTint="66"/>
        <w:ind w:hanging="720"/>
        <w:jc w:val="both"/>
      </w:pPr>
      <w:r>
        <w:t xml:space="preserve">Projekta gala versiju iesniedzot ekspertīzei, tika saņemts aizrādījums par to, ka esošais (vecais) cauruļvads nevarēs paņemt aprēķināto lietus ūdens daudzumu, tāpēc neapstiprināja iesniegto projektu. Lai saņemtu pozitīvu ekspertīzes atzinumu, bija nepieciešams veikt lietus ūdens novadīšanas sistēmas jaunu risinājumu; </w:t>
      </w:r>
    </w:p>
    <w:p w:rsidR="00C3199B" w:rsidRDefault="00406392" w:rsidP="00110721">
      <w:pPr>
        <w:pStyle w:val="ListParagraph"/>
        <w:numPr>
          <w:ilvl w:val="0"/>
          <w:numId w:val="6"/>
        </w:numPr>
        <w:shd w:val="clear" w:color="auto" w:fill="D6E3BC" w:themeFill="accent3" w:themeFillTint="66"/>
        <w:ind w:hanging="720"/>
        <w:jc w:val="both"/>
      </w:pPr>
      <w:r>
        <w:t>v</w:t>
      </w:r>
      <w:r w:rsidR="00C3199B">
        <w:t xml:space="preserve">eicot pārprojektēšanu, no jaunajiem diviem projektiem (Attekas iela un Jaunā skola) nepārtraukti tika saņemti mainīgi apjomi, kā rezultātā ievērojami palielinājās novadāmā ūdens daudzums; </w:t>
      </w:r>
    </w:p>
    <w:p w:rsidR="00406392" w:rsidRDefault="00406392" w:rsidP="00110721">
      <w:pPr>
        <w:pStyle w:val="ListParagraph"/>
        <w:numPr>
          <w:ilvl w:val="0"/>
          <w:numId w:val="6"/>
        </w:numPr>
        <w:shd w:val="clear" w:color="auto" w:fill="D6E3BC" w:themeFill="accent3" w:themeFillTint="66"/>
        <w:ind w:hanging="720"/>
        <w:jc w:val="both"/>
      </w:pPr>
      <w:r>
        <w:t>l</w:t>
      </w:r>
      <w:r w:rsidR="00C3199B">
        <w:t>ai saņemtu pozitīvu ekspertīzes atzinumu, tika piedāvāts variants ar jaunu lietus ūdens izvada risinājumu, kurā jaunā izvada diametrs bija 800 mm un  kura tra</w:t>
      </w:r>
      <w:r>
        <w:t xml:space="preserve">ses garums bija aptuveni 170 m; </w:t>
      </w:r>
    </w:p>
    <w:p w:rsidR="00406392" w:rsidRDefault="00406392" w:rsidP="00110721">
      <w:pPr>
        <w:pStyle w:val="ListParagraph"/>
        <w:numPr>
          <w:ilvl w:val="0"/>
          <w:numId w:val="6"/>
        </w:numPr>
        <w:shd w:val="clear" w:color="auto" w:fill="D6E3BC" w:themeFill="accent3" w:themeFillTint="66"/>
        <w:ind w:hanging="720"/>
        <w:jc w:val="both"/>
      </w:pPr>
      <w:r>
        <w:t>pēc būvprojekta apstiprinājuma Būvvaldē tika saņemta precizēta informācija no Attekas ielas turpinājuma un Jaunās skolas turpinājuma projektētājiem, noskaidrojot, ka pastāv iespēja izveidot jaunā lietus ūdens izvada alternatīvu – mainot izvada trasi, iesējams saīsināt tās garumu un samazināt cauruļvada diametru no 800 mm un 600 mm, radot domei ietaupījumu aptuveni 40 000 EUR apmērā;</w:t>
      </w:r>
    </w:p>
    <w:p w:rsidR="00B336DD" w:rsidRDefault="00406392" w:rsidP="00110721">
      <w:pPr>
        <w:pStyle w:val="ListParagraph"/>
        <w:numPr>
          <w:ilvl w:val="0"/>
          <w:numId w:val="6"/>
        </w:numPr>
        <w:shd w:val="clear" w:color="auto" w:fill="D6E3BC" w:themeFill="accent3" w:themeFillTint="66"/>
        <w:ind w:hanging="720"/>
        <w:jc w:val="both"/>
      </w:pPr>
      <w:r>
        <w:t xml:space="preserve">tā kā Attekas ielas turpinājuma pieslēgums Gaujas ielai ir pie Attekas ielas krustojuma apļa, tad izstrādājot alternatīvu, mainījās arī </w:t>
      </w:r>
      <w:r w:rsidR="00B336DD">
        <w:t xml:space="preserve">apjomi esošā projekta ietvaros, </w:t>
      </w:r>
      <w:r>
        <w:t>izmaiņas projektā tika ve</w:t>
      </w:r>
      <w:r w:rsidR="00B336DD">
        <w:t xml:space="preserve">iktas autoruzraudzības kārtībā; </w:t>
      </w:r>
    </w:p>
    <w:p w:rsidR="007E473D" w:rsidRDefault="00406392" w:rsidP="00110721">
      <w:pPr>
        <w:pStyle w:val="ListParagraph"/>
        <w:numPr>
          <w:ilvl w:val="0"/>
          <w:numId w:val="6"/>
        </w:numPr>
        <w:shd w:val="clear" w:color="auto" w:fill="D6E3BC" w:themeFill="accent3" w:themeFillTint="66"/>
        <w:ind w:hanging="720"/>
        <w:jc w:val="both"/>
      </w:pPr>
      <w:r w:rsidRPr="00B336DD">
        <w:rPr>
          <w:sz w:val="14"/>
          <w:szCs w:val="14"/>
        </w:rPr>
        <w:t xml:space="preserve"> </w:t>
      </w:r>
      <w:r>
        <w:t>Jaunās alternatīvas projektēšanu veica SIA “BM Projekts”, slēdzot līgumu ar domi</w:t>
      </w:r>
      <w:r w:rsidR="00B336DD">
        <w:t>;</w:t>
      </w:r>
    </w:p>
    <w:p w:rsidR="00393C20" w:rsidRDefault="007E473D" w:rsidP="00110721">
      <w:pPr>
        <w:pStyle w:val="ListParagraph"/>
        <w:numPr>
          <w:ilvl w:val="0"/>
          <w:numId w:val="6"/>
        </w:numPr>
        <w:shd w:val="clear" w:color="auto" w:fill="D6E3BC" w:themeFill="accent3" w:themeFillTint="66"/>
        <w:ind w:hanging="720"/>
        <w:jc w:val="both"/>
      </w:pPr>
      <w:r>
        <w:t>Svarīgi, ka bez šāda kanalizācijas izvada nav iespējams nodot ekspluatācijā Gaujas ielas pārbūvi, jo VBKB norāda, ka nav iespējams nodot ekspluatācijā ielu, ja netiek nodrošināta slēgtā lietus ūdens atvade, kā rezultātā uz ielas krātos ūdens;</w:t>
      </w:r>
      <w:r w:rsidR="00393C20">
        <w:t xml:space="preserve"> </w:t>
      </w:r>
    </w:p>
    <w:p w:rsidR="00A036EF" w:rsidRDefault="00A036EF" w:rsidP="00110721">
      <w:pPr>
        <w:pStyle w:val="ListParagraph"/>
        <w:numPr>
          <w:ilvl w:val="0"/>
          <w:numId w:val="6"/>
        </w:numPr>
        <w:shd w:val="clear" w:color="auto" w:fill="D6E3BC" w:themeFill="accent3" w:themeFillTint="66"/>
        <w:ind w:hanging="720"/>
        <w:jc w:val="both"/>
      </w:pPr>
      <w:r>
        <w:t xml:space="preserve">Sākotnēji SIA “Monum” tika aicināts uz sarunām </w:t>
      </w:r>
      <w:r w:rsidR="005000A6">
        <w:t xml:space="preserve">(2017.gada 19.aprīlī) </w:t>
      </w:r>
      <w:r>
        <w:t>papildus būvdarbu realizācijai (iepirkuma ID.Nr.2017/51), tomēr iepirkums tika izbeigts bez rezultāta;</w:t>
      </w:r>
    </w:p>
    <w:p w:rsidR="00A036EF" w:rsidRDefault="0004675A" w:rsidP="00110721">
      <w:pPr>
        <w:pStyle w:val="ListParagraph"/>
        <w:numPr>
          <w:ilvl w:val="0"/>
          <w:numId w:val="6"/>
        </w:numPr>
        <w:shd w:val="clear" w:color="auto" w:fill="D6E3BC" w:themeFill="accent3" w:themeFillTint="66"/>
        <w:ind w:hanging="720"/>
        <w:jc w:val="both"/>
      </w:pPr>
      <w:r>
        <w:t>Tika izsludināts iepirkums atbilstoši Publisko iepirkumu likuma 9.pantam</w:t>
      </w:r>
      <w:proofErr w:type="gramStart"/>
      <w:r>
        <w:t xml:space="preserve"> </w:t>
      </w:r>
      <w:r w:rsidRPr="005938A4">
        <w:t xml:space="preserve"> </w:t>
      </w:r>
      <w:proofErr w:type="gramEnd"/>
      <w:r w:rsidRPr="007D422C">
        <w:t>„</w:t>
      </w:r>
      <w:r w:rsidRPr="00C3586F">
        <w:t>LIETUS ŪDENS KANALIZĀCIJAS TĪKLU IZBŪVE GAUJAS IELĀ A</w:t>
      </w:r>
      <w:r w:rsidRPr="007D422C">
        <w:t>”</w:t>
      </w:r>
      <w:r>
        <w:t xml:space="preserve"> (ID.Nr.: ĀND 2017/58)</w:t>
      </w:r>
      <w:r>
        <w:t xml:space="preserve">, </w:t>
      </w:r>
      <w:r w:rsidR="00A036EF">
        <w:t xml:space="preserve">2017.gada 19.maijā tika pieņemts lēmums </w:t>
      </w:r>
      <w:r w:rsidR="00A036EF">
        <w:t>(Protokols Nr.05-30-2017/58-4) piešķirt līguma slēgšanas tiesības pretendentam CBF SIA “Binders”</w:t>
      </w:r>
      <w:r>
        <w:t>, bet līgums netika noslēgts.</w:t>
      </w:r>
    </w:p>
    <w:p w:rsidR="00995D0F" w:rsidRDefault="00995D0F" w:rsidP="00995D0F">
      <w:pPr>
        <w:pStyle w:val="ListParagraph"/>
        <w:numPr>
          <w:ilvl w:val="0"/>
          <w:numId w:val="3"/>
        </w:numPr>
        <w:ind w:left="709" w:hanging="709"/>
        <w:jc w:val="both"/>
      </w:pPr>
      <w:r>
        <w:t xml:space="preserve">R.Šteina ziņo, ka Publisko iepirkumu likuma </w:t>
      </w:r>
      <w:r w:rsidRPr="00212F57">
        <w:t xml:space="preserve">8.panta septītās daļas </w:t>
      </w:r>
      <w:r>
        <w:t>3</w:t>
      </w:r>
      <w:r w:rsidRPr="00212F57">
        <w:t>.punkta</w:t>
      </w:r>
      <w:r>
        <w:t xml:space="preserve"> piemērošanas priekšnosacījums ir – pasūtītājam neparedzamu ārkārtas apstākļu rezultātā objektīvi radusies situācija, kurā steidzamības dēļ nav iespējams piemērot atklātu procedūru un apstākļi, kas pamato steidzamību, nedrīkst būt atkarīgi no pasūtītāja darbības.</w:t>
      </w:r>
    </w:p>
    <w:p w:rsidR="00995D0F" w:rsidRPr="00C87749" w:rsidRDefault="00995D0F" w:rsidP="00995D0F">
      <w:pPr>
        <w:pStyle w:val="ListParagraph"/>
        <w:numPr>
          <w:ilvl w:val="0"/>
          <w:numId w:val="3"/>
        </w:numPr>
        <w:ind w:left="709" w:hanging="709"/>
        <w:jc w:val="both"/>
      </w:pPr>
      <w:r>
        <w:t>Komisija apspriež, ka apstāklis, kas pamato steidzamību</w:t>
      </w:r>
      <w:r w:rsidR="00C76E4E">
        <w:t>,</w:t>
      </w:r>
      <w:r>
        <w:t xml:space="preserve"> attiecīgajā situācijā ir – </w:t>
      </w:r>
      <w:r>
        <w:t>iepirkum</w:t>
      </w:r>
      <w:r>
        <w:t xml:space="preserve">a </w:t>
      </w:r>
      <w:r w:rsidRPr="007D422C">
        <w:t>„</w:t>
      </w:r>
      <w:r w:rsidRPr="00C3586F">
        <w:t>LIETUS ŪDENS KANALIZĀCIJAS TĪKLU IZBŪVE GAUJAS IELĀ A</w:t>
      </w:r>
      <w:r w:rsidRPr="007D422C">
        <w:t>”</w:t>
      </w:r>
      <w:r>
        <w:t xml:space="preserve"> (ID.Nr.: ĀND 2017/58) </w:t>
      </w:r>
      <w:r>
        <w:t xml:space="preserve">pārtraukšana un izbeigšana bez rezultāta, jo </w:t>
      </w:r>
      <w:r>
        <w:t>pretendent</w:t>
      </w:r>
      <w:r>
        <w:t>s</w:t>
      </w:r>
      <w:r>
        <w:t xml:space="preserve"> CBF SIA “Binders”</w:t>
      </w:r>
      <w:r>
        <w:t xml:space="preserve"> neparakstīja būvniecības līgumu. </w:t>
      </w:r>
      <w:r>
        <w:lastRenderedPageBreak/>
        <w:t xml:space="preserve">Ādažu novada dome iepriekš nevarēja paredzēt, ka pretendents, kurš piedalīsies </w:t>
      </w:r>
      <w:r>
        <w:t>iepirkum</w:t>
      </w:r>
      <w:r>
        <w:t xml:space="preserve">a </w:t>
      </w:r>
      <w:r w:rsidRPr="007D422C">
        <w:t>„</w:t>
      </w:r>
      <w:r w:rsidRPr="00C3586F">
        <w:t>LIETUS ŪDENS KANALIZĀCIJAS TĪKLU IZBŪVE GAUJAS IELĀ A</w:t>
      </w:r>
      <w:r w:rsidRPr="007D422C">
        <w:t>”</w:t>
      </w:r>
      <w:r>
        <w:t xml:space="preserve"> (ID.Nr.: ĀND 2017/58)</w:t>
      </w:r>
      <w:r>
        <w:t xml:space="preserve"> procedūrā, iegūs līguma slēgšanas tiesības un tiks aicināts noslēgt līgumu, rezultātā to neizdarīs un iepirkums būs pārtraucams (iepirkumā nebija cita atbilstoša pretendenta</w:t>
      </w:r>
      <w:r w:rsidRPr="00C87749">
        <w:t>).</w:t>
      </w:r>
    </w:p>
    <w:p w:rsidR="005000A6" w:rsidRDefault="005000A6" w:rsidP="00995D0F">
      <w:pPr>
        <w:pStyle w:val="ListParagraph"/>
        <w:numPr>
          <w:ilvl w:val="0"/>
          <w:numId w:val="3"/>
        </w:numPr>
        <w:ind w:left="709" w:hanging="709"/>
        <w:jc w:val="both"/>
      </w:pPr>
      <w:r w:rsidRPr="00C87749">
        <w:t xml:space="preserve">R.Šteina ziņo, ka </w:t>
      </w:r>
      <w:r w:rsidR="003A54F5" w:rsidRPr="00C87749">
        <w:t xml:space="preserve">iepirkumā ir uzaicināma piedalīties </w:t>
      </w:r>
      <w:r w:rsidR="003A54F5" w:rsidRPr="00C87749">
        <w:rPr>
          <w:sz w:val="22"/>
          <w:szCs w:val="22"/>
        </w:rPr>
        <w:t>SIA “LIELVĀRDES MELIORĀCIJA”</w:t>
      </w:r>
      <w:r w:rsidR="003A54F5" w:rsidRPr="00C87749">
        <w:rPr>
          <w:sz w:val="22"/>
          <w:szCs w:val="22"/>
        </w:rPr>
        <w:t>,</w:t>
      </w:r>
      <w:r w:rsidR="003A54F5">
        <w:rPr>
          <w:sz w:val="22"/>
          <w:szCs w:val="22"/>
        </w:rPr>
        <w:t xml:space="preserve"> kas ir sevi pierādījusi kā kvalificētu jomas speciālistu iepriekšējā līgumiskā sadarbībā ar Ādažu novada domi</w:t>
      </w:r>
      <w:r w:rsidR="00C76E4E">
        <w:rPr>
          <w:sz w:val="22"/>
          <w:szCs w:val="22"/>
        </w:rPr>
        <w:t>.</w:t>
      </w:r>
    </w:p>
    <w:p w:rsidR="00023654" w:rsidRDefault="00272811" w:rsidP="00FF3AD6">
      <w:pPr>
        <w:pStyle w:val="ListParagraph"/>
        <w:numPr>
          <w:ilvl w:val="0"/>
          <w:numId w:val="3"/>
        </w:numPr>
        <w:ind w:left="709" w:hanging="709"/>
        <w:jc w:val="both"/>
      </w:pPr>
      <w:r>
        <w:t xml:space="preserve">Komisija apspriež nolikuma projektu un priekšlikumus par </w:t>
      </w:r>
      <w:r w:rsidR="008C61B6">
        <w:t>uzaicinājuma nosūtīšanas</w:t>
      </w:r>
      <w:r>
        <w:t xml:space="preserve"> un piedāvājum</w:t>
      </w:r>
      <w:r w:rsidR="008C61B6">
        <w:t>a</w:t>
      </w:r>
      <w:r>
        <w:t xml:space="preserve"> iesniegšanas termiņiem.</w:t>
      </w:r>
      <w:r w:rsidR="00023654">
        <w:t xml:space="preserve"> </w:t>
      </w:r>
    </w:p>
    <w:p w:rsidR="00141F2A" w:rsidRDefault="00141F2A" w:rsidP="00FF3AD6">
      <w:pPr>
        <w:pStyle w:val="ListParagraph"/>
        <w:numPr>
          <w:ilvl w:val="0"/>
          <w:numId w:val="3"/>
        </w:numPr>
        <w:ind w:left="709" w:hanging="709"/>
        <w:jc w:val="both"/>
      </w:pPr>
      <w:r>
        <w:t>Komisijas locekļi paraksta apliecinājumu par neieinteresētību.</w:t>
      </w:r>
    </w:p>
    <w:p w:rsidR="00272811" w:rsidRDefault="00272811" w:rsidP="00272811">
      <w:pPr>
        <w:ind w:firstLine="720"/>
        <w:jc w:val="both"/>
      </w:pPr>
    </w:p>
    <w:p w:rsidR="00272811" w:rsidRDefault="00272811" w:rsidP="000C31E3">
      <w:pPr>
        <w:shd w:val="clear" w:color="auto" w:fill="DBE5F1" w:themeFill="accent1" w:themeFillTint="33"/>
        <w:jc w:val="both"/>
        <w:rPr>
          <w:b/>
          <w:bCs/>
        </w:rPr>
      </w:pPr>
      <w:r>
        <w:t xml:space="preserve"> </w:t>
      </w:r>
      <w:r>
        <w:rPr>
          <w:b/>
          <w:bCs/>
        </w:rPr>
        <w:t xml:space="preserve">Komisija nolemj: </w:t>
      </w:r>
    </w:p>
    <w:p w:rsidR="00D87F2B" w:rsidRDefault="00272811" w:rsidP="000C31E3">
      <w:pPr>
        <w:numPr>
          <w:ilvl w:val="0"/>
          <w:numId w:val="1"/>
        </w:numPr>
        <w:shd w:val="clear" w:color="auto" w:fill="DBE5F1" w:themeFill="accent1" w:themeFillTint="33"/>
        <w:tabs>
          <w:tab w:val="num" w:pos="720"/>
        </w:tabs>
        <w:ind w:left="720" w:hanging="720"/>
        <w:jc w:val="both"/>
      </w:pPr>
      <w:r>
        <w:t xml:space="preserve">Atbalstīt iesniegto </w:t>
      </w:r>
      <w:r w:rsidR="000A7DEC">
        <w:t>iepirkuma</w:t>
      </w:r>
      <w:r w:rsidR="007D422C">
        <w:t xml:space="preserve"> </w:t>
      </w:r>
      <w:r w:rsidR="000A7DEC">
        <w:t>“</w:t>
      </w:r>
      <w:r w:rsidR="000A7DEC" w:rsidRPr="00E13050">
        <w:t>Sarunu procedūra - GAUJAS IELAS A LIETUS ŪDENS KANALIZĀCIJAS TĪKLU IZBŪVE</w:t>
      </w:r>
      <w:r w:rsidR="000A7DEC">
        <w:t>” (ID.Nr.: ĀND 2017/82)</w:t>
      </w:r>
      <w:r w:rsidR="00FB4200">
        <w:t xml:space="preserve"> </w:t>
      </w:r>
      <w:r w:rsidR="0083447E">
        <w:t>nolikuma</w:t>
      </w:r>
      <w:r>
        <w:t xml:space="preserve"> projektu</w:t>
      </w:r>
      <w:r w:rsidR="00C87749">
        <w:t>;</w:t>
      </w:r>
    </w:p>
    <w:p w:rsidR="00272811" w:rsidRDefault="00D87F2B" w:rsidP="000C31E3">
      <w:pPr>
        <w:numPr>
          <w:ilvl w:val="0"/>
          <w:numId w:val="1"/>
        </w:numPr>
        <w:shd w:val="clear" w:color="auto" w:fill="DBE5F1" w:themeFill="accent1" w:themeFillTint="33"/>
        <w:tabs>
          <w:tab w:val="num" w:pos="720"/>
        </w:tabs>
        <w:ind w:left="720" w:hanging="720"/>
        <w:jc w:val="both"/>
      </w:pPr>
      <w:r>
        <w:t xml:space="preserve">Piemērot iepirkumam Publisko iepirkumu likuma 9.panta 21.daļas 1) apakšpunktā paredzēto izņēmumu, jo iepirkums atbilst likuma </w:t>
      </w:r>
      <w:r w:rsidRPr="00212F57">
        <w:t xml:space="preserve">8.panta septītās daļas </w:t>
      </w:r>
      <w:r w:rsidR="00C87749">
        <w:t>3</w:t>
      </w:r>
      <w:r w:rsidRPr="00212F57">
        <w:t>.punkta nosacījumiem</w:t>
      </w:r>
      <w:r>
        <w:t>.</w:t>
      </w:r>
    </w:p>
    <w:p w:rsidR="00272811" w:rsidRDefault="00DE71B3" w:rsidP="000C31E3">
      <w:pPr>
        <w:numPr>
          <w:ilvl w:val="0"/>
          <w:numId w:val="1"/>
        </w:numPr>
        <w:shd w:val="clear" w:color="auto" w:fill="DBE5F1" w:themeFill="accent1" w:themeFillTint="33"/>
        <w:tabs>
          <w:tab w:val="num" w:pos="720"/>
        </w:tabs>
        <w:ind w:left="720" w:hanging="720"/>
        <w:jc w:val="both"/>
      </w:pPr>
      <w:r w:rsidRPr="000C6A9E">
        <w:t xml:space="preserve">Noteikt </w:t>
      </w:r>
      <w:r w:rsidR="009E7BE4">
        <w:t xml:space="preserve">uzaicinājuma nosūtīšanas </w:t>
      </w:r>
      <w:r w:rsidR="00C87749" w:rsidRPr="00C87749">
        <w:rPr>
          <w:sz w:val="22"/>
          <w:szCs w:val="22"/>
        </w:rPr>
        <w:t>SIA “LIELVĀRDES MELIORĀCIJA”</w:t>
      </w:r>
      <w:r w:rsidRPr="000C6A9E">
        <w:t xml:space="preserve"> datumu - </w:t>
      </w:r>
      <w:r>
        <w:t>201</w:t>
      </w:r>
      <w:r w:rsidR="00D87F2B">
        <w:t>7</w:t>
      </w:r>
      <w:r w:rsidRPr="000C6A9E">
        <w:t xml:space="preserve">.gada </w:t>
      </w:r>
      <w:r w:rsidR="00D17A76">
        <w:t>19</w:t>
      </w:r>
      <w:r w:rsidR="00D87F2B">
        <w:t>.</w:t>
      </w:r>
      <w:r w:rsidR="00C87749">
        <w:t>jūnijs</w:t>
      </w:r>
      <w:r w:rsidRPr="000C6A9E">
        <w:t xml:space="preserve"> un kā piedāvājum</w:t>
      </w:r>
      <w:r w:rsidR="009E7BE4">
        <w:t>a</w:t>
      </w:r>
      <w:r w:rsidRPr="000C6A9E">
        <w:t xml:space="preserve"> iesniegšanas termiņu noteikt </w:t>
      </w:r>
      <w:r>
        <w:t>201</w:t>
      </w:r>
      <w:r w:rsidR="00D87F2B">
        <w:t>7</w:t>
      </w:r>
      <w:r>
        <w:t xml:space="preserve">.gada </w:t>
      </w:r>
      <w:r w:rsidR="00C87749">
        <w:t>26.jūnija</w:t>
      </w:r>
      <w:r w:rsidR="004C478A">
        <w:t xml:space="preserve"> pulksten 1</w:t>
      </w:r>
      <w:r w:rsidR="009E7BE4">
        <w:t>0</w:t>
      </w:r>
      <w:r w:rsidRPr="000C6A9E">
        <w:t>:00.</w:t>
      </w:r>
      <w:bookmarkStart w:id="0" w:name="_GoBack"/>
      <w:bookmarkEnd w:id="0"/>
    </w:p>
    <w:p w:rsidR="00272811" w:rsidRDefault="00272811" w:rsidP="00272811">
      <w:pPr>
        <w:jc w:val="both"/>
        <w:rPr>
          <w:b/>
          <w:bCs/>
        </w:rPr>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766450">
        <w:t>ekšsēdētājs sēdi slēdz plkst. 1</w:t>
      </w:r>
      <w:r w:rsidR="00526DB6">
        <w:t>2</w:t>
      </w:r>
      <w:r>
        <w:t>:00.</w:t>
      </w:r>
    </w:p>
    <w:p w:rsidR="00272811" w:rsidRDefault="00272811" w:rsidP="00272811">
      <w:pPr>
        <w:jc w:val="both"/>
      </w:pPr>
    </w:p>
    <w:p w:rsidR="00272811" w:rsidRDefault="00272811" w:rsidP="00272811">
      <w:pPr>
        <w:jc w:val="both"/>
        <w:rPr>
          <w:b/>
        </w:rPr>
      </w:pPr>
      <w:r>
        <w:rPr>
          <w:b/>
        </w:rPr>
        <w:t xml:space="preserve">Pielikumā:    </w:t>
      </w:r>
    </w:p>
    <w:p w:rsidR="00272811" w:rsidRDefault="00272811" w:rsidP="00023654">
      <w:pPr>
        <w:numPr>
          <w:ilvl w:val="0"/>
          <w:numId w:val="2"/>
        </w:numPr>
        <w:ind w:hanging="720"/>
        <w:jc w:val="both"/>
      </w:pPr>
      <w:r>
        <w:t>Komisijas locekļu apliecinājums par neieinteresētību;</w:t>
      </w:r>
    </w:p>
    <w:p w:rsidR="00272811" w:rsidRDefault="00272811" w:rsidP="00023654">
      <w:pPr>
        <w:numPr>
          <w:ilvl w:val="0"/>
          <w:numId w:val="2"/>
        </w:numPr>
        <w:ind w:hanging="720"/>
        <w:jc w:val="both"/>
      </w:pPr>
      <w:r>
        <w:t>Iepirkuma nolikums;</w:t>
      </w:r>
    </w:p>
    <w:p w:rsidR="00272811" w:rsidRDefault="007A650D" w:rsidP="00023654">
      <w:pPr>
        <w:numPr>
          <w:ilvl w:val="0"/>
          <w:numId w:val="2"/>
        </w:numPr>
        <w:ind w:hanging="720"/>
        <w:jc w:val="both"/>
      </w:pPr>
      <w:r>
        <w:t xml:space="preserve">Uzaicinājums </w:t>
      </w:r>
      <w:r w:rsidR="00526DB6" w:rsidRPr="00C87749">
        <w:rPr>
          <w:sz w:val="22"/>
          <w:szCs w:val="22"/>
        </w:rPr>
        <w:t>SIA “LIELVĀRDES MELIORĀCIJA”</w:t>
      </w:r>
      <w:r>
        <w:t xml:space="preserve"> piedalīties </w:t>
      </w:r>
      <w:r w:rsidR="00EF3491">
        <w:t>iepirkumā</w:t>
      </w:r>
      <w:r>
        <w:t xml:space="preserve">. </w:t>
      </w:r>
    </w:p>
    <w:p w:rsidR="00272811" w:rsidRDefault="00272811" w:rsidP="00272811">
      <w:pPr>
        <w:jc w:val="both"/>
      </w:pPr>
    </w:p>
    <w:p w:rsidR="00272811" w:rsidRDefault="00272811" w:rsidP="00272811">
      <w:pPr>
        <w:jc w:val="both"/>
      </w:pPr>
    </w:p>
    <w:p w:rsidR="00272811" w:rsidRDefault="00272811" w:rsidP="00272811"/>
    <w:p w:rsidR="00272811" w:rsidRDefault="00272811" w:rsidP="00272811">
      <w:pPr>
        <w:jc w:val="both"/>
      </w:pPr>
    </w:p>
    <w:p w:rsidR="00272811" w:rsidRDefault="00272811" w:rsidP="00272811">
      <w:pPr>
        <w:ind w:right="-694"/>
        <w:jc w:val="both"/>
      </w:pPr>
      <w:r>
        <w:t xml:space="preserve">Komisijas priekšsēdētājs: </w:t>
      </w:r>
      <w:r>
        <w:tab/>
      </w:r>
      <w:r>
        <w:tab/>
        <w:t>_____________________</w:t>
      </w:r>
      <w:r>
        <w:tab/>
        <w:t xml:space="preserve">A. Brūvers </w:t>
      </w:r>
    </w:p>
    <w:p w:rsidR="00272811" w:rsidRDefault="00272811" w:rsidP="00272811">
      <w:pPr>
        <w:ind w:right="-694"/>
        <w:jc w:val="both"/>
      </w:pPr>
    </w:p>
    <w:p w:rsidR="001D5B3D" w:rsidRDefault="00272811" w:rsidP="00E77527">
      <w:pPr>
        <w:ind w:right="-694"/>
        <w:jc w:val="both"/>
      </w:pPr>
      <w:r>
        <w:t>Komisijas locekļi:</w:t>
      </w:r>
      <w:r>
        <w:tab/>
      </w:r>
      <w:r>
        <w:tab/>
      </w:r>
      <w:r>
        <w:tab/>
      </w:r>
    </w:p>
    <w:p w:rsidR="00766450" w:rsidRDefault="00E63A48" w:rsidP="00EC72D9">
      <w:pPr>
        <w:ind w:right="-694"/>
        <w:jc w:val="both"/>
      </w:pPr>
      <w:r>
        <w:tab/>
      </w:r>
      <w:r>
        <w:tab/>
      </w:r>
      <w:r>
        <w:tab/>
      </w:r>
      <w:r>
        <w:tab/>
      </w:r>
      <w:r>
        <w:tab/>
      </w:r>
      <w:r w:rsidR="00766450">
        <w:t>_____________________</w:t>
      </w:r>
      <w:r w:rsidR="00766450">
        <w:tab/>
        <w:t>E. Kāpa</w:t>
      </w:r>
    </w:p>
    <w:p w:rsidR="00766450" w:rsidRDefault="00766450" w:rsidP="00272811"/>
    <w:p w:rsidR="00766450" w:rsidRDefault="00766450" w:rsidP="00272811">
      <w:r>
        <w:tab/>
      </w:r>
      <w:r>
        <w:tab/>
      </w:r>
      <w:r>
        <w:tab/>
      </w:r>
      <w:r>
        <w:tab/>
      </w:r>
      <w:r>
        <w:tab/>
        <w:t>_____________________</w:t>
      </w:r>
      <w:r>
        <w:tab/>
        <w:t>R. Šteina</w:t>
      </w:r>
    </w:p>
    <w:p w:rsidR="00766450" w:rsidRDefault="00766450" w:rsidP="00272811"/>
    <w:p w:rsidR="00766450" w:rsidRDefault="00766450" w:rsidP="00272811">
      <w:r>
        <w:tab/>
      </w:r>
      <w:r>
        <w:tab/>
      </w:r>
      <w:r>
        <w:tab/>
      </w:r>
      <w:r>
        <w:tab/>
      </w:r>
      <w:r>
        <w:tab/>
        <w:t>_____________________</w:t>
      </w:r>
      <w:r>
        <w:tab/>
        <w:t>H. Krasts</w:t>
      </w:r>
    </w:p>
    <w:p w:rsidR="00D15748" w:rsidRDefault="00D15748" w:rsidP="00272811"/>
    <w:p w:rsidR="00D15748" w:rsidRDefault="00EC72D9" w:rsidP="00272811">
      <w:r>
        <w:t xml:space="preserve">                              </w:t>
      </w:r>
      <w:r w:rsidR="00D15748">
        <w:tab/>
      </w:r>
      <w:r w:rsidR="00D15748">
        <w:tab/>
      </w:r>
      <w:r w:rsidR="00D15748">
        <w:tab/>
        <w:t>_____________________</w:t>
      </w:r>
      <w:r w:rsidR="00D15748">
        <w:tab/>
      </w:r>
      <w:r>
        <w:t>V.Bulāns</w:t>
      </w:r>
    </w:p>
    <w:p w:rsidR="00D15748" w:rsidRDefault="00D15748" w:rsidP="00272811"/>
    <w:p w:rsidR="006B6501" w:rsidRDefault="00D15748">
      <w:r>
        <w:tab/>
      </w:r>
      <w:r>
        <w:tab/>
      </w:r>
      <w:r>
        <w:tab/>
      </w:r>
      <w:r>
        <w:tab/>
      </w:r>
      <w:r>
        <w:tab/>
        <w:t>_____________________</w:t>
      </w:r>
      <w:r>
        <w:tab/>
      </w:r>
      <w:r w:rsidR="00EC72D9">
        <w:t>U. Dambis</w:t>
      </w:r>
    </w:p>
    <w:sectPr w:rsidR="006B65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7C4767"/>
    <w:multiLevelType w:val="hybridMultilevel"/>
    <w:tmpl w:val="ECECD944"/>
    <w:lvl w:ilvl="0" w:tplc="F5BE31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A4A4F64"/>
    <w:multiLevelType w:val="hybridMultilevel"/>
    <w:tmpl w:val="91DA01DE"/>
    <w:lvl w:ilvl="0" w:tplc="7340D3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FF7417D"/>
    <w:multiLevelType w:val="hybridMultilevel"/>
    <w:tmpl w:val="5E08E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05301"/>
    <w:rsid w:val="00023654"/>
    <w:rsid w:val="0004675A"/>
    <w:rsid w:val="0009587F"/>
    <w:rsid w:val="000A7DEC"/>
    <w:rsid w:val="000B0B2D"/>
    <w:rsid w:val="000C04A9"/>
    <w:rsid w:val="000C31E3"/>
    <w:rsid w:val="00110721"/>
    <w:rsid w:val="00141F2A"/>
    <w:rsid w:val="00146516"/>
    <w:rsid w:val="00151043"/>
    <w:rsid w:val="0015127C"/>
    <w:rsid w:val="001D5B3D"/>
    <w:rsid w:val="001E56B8"/>
    <w:rsid w:val="001F4577"/>
    <w:rsid w:val="0020090F"/>
    <w:rsid w:val="00250457"/>
    <w:rsid w:val="002716BB"/>
    <w:rsid w:val="00272811"/>
    <w:rsid w:val="00286E6A"/>
    <w:rsid w:val="002A1C45"/>
    <w:rsid w:val="002A54C7"/>
    <w:rsid w:val="002A72D5"/>
    <w:rsid w:val="002B001D"/>
    <w:rsid w:val="003241BF"/>
    <w:rsid w:val="00342448"/>
    <w:rsid w:val="00347760"/>
    <w:rsid w:val="00381801"/>
    <w:rsid w:val="00393C20"/>
    <w:rsid w:val="003A089E"/>
    <w:rsid w:val="003A54F5"/>
    <w:rsid w:val="003D1B8A"/>
    <w:rsid w:val="003D52F4"/>
    <w:rsid w:val="003D78D5"/>
    <w:rsid w:val="003E6729"/>
    <w:rsid w:val="00406392"/>
    <w:rsid w:val="0045036C"/>
    <w:rsid w:val="0045072A"/>
    <w:rsid w:val="00463D9A"/>
    <w:rsid w:val="004671C4"/>
    <w:rsid w:val="00487F2D"/>
    <w:rsid w:val="004C478A"/>
    <w:rsid w:val="004E5069"/>
    <w:rsid w:val="005000A6"/>
    <w:rsid w:val="00526DB6"/>
    <w:rsid w:val="005318B5"/>
    <w:rsid w:val="00553B33"/>
    <w:rsid w:val="00570800"/>
    <w:rsid w:val="00580D28"/>
    <w:rsid w:val="005D66B5"/>
    <w:rsid w:val="00600BFE"/>
    <w:rsid w:val="006208C5"/>
    <w:rsid w:val="00650725"/>
    <w:rsid w:val="00684AB2"/>
    <w:rsid w:val="006A530C"/>
    <w:rsid w:val="006B2C5B"/>
    <w:rsid w:val="006B42A4"/>
    <w:rsid w:val="006B4E61"/>
    <w:rsid w:val="006B6501"/>
    <w:rsid w:val="006B68BA"/>
    <w:rsid w:val="006D295B"/>
    <w:rsid w:val="007079A4"/>
    <w:rsid w:val="00757B14"/>
    <w:rsid w:val="00766450"/>
    <w:rsid w:val="007A650D"/>
    <w:rsid w:val="007D422C"/>
    <w:rsid w:val="007D6D21"/>
    <w:rsid w:val="007E473D"/>
    <w:rsid w:val="00805173"/>
    <w:rsid w:val="0081238F"/>
    <w:rsid w:val="0083447E"/>
    <w:rsid w:val="00844A32"/>
    <w:rsid w:val="00856E0D"/>
    <w:rsid w:val="00863C22"/>
    <w:rsid w:val="008A2CC0"/>
    <w:rsid w:val="008A77A7"/>
    <w:rsid w:val="008C3F6F"/>
    <w:rsid w:val="008C61B6"/>
    <w:rsid w:val="00913B55"/>
    <w:rsid w:val="0093158C"/>
    <w:rsid w:val="00944518"/>
    <w:rsid w:val="00971BFE"/>
    <w:rsid w:val="00977787"/>
    <w:rsid w:val="00995D0F"/>
    <w:rsid w:val="009D16A3"/>
    <w:rsid w:val="009E7BE4"/>
    <w:rsid w:val="00A036EF"/>
    <w:rsid w:val="00A47D1F"/>
    <w:rsid w:val="00A858D7"/>
    <w:rsid w:val="00A871A3"/>
    <w:rsid w:val="00A871CD"/>
    <w:rsid w:val="00AD6CCC"/>
    <w:rsid w:val="00AE1844"/>
    <w:rsid w:val="00B22AAB"/>
    <w:rsid w:val="00B23A4F"/>
    <w:rsid w:val="00B27748"/>
    <w:rsid w:val="00B30B65"/>
    <w:rsid w:val="00B336DD"/>
    <w:rsid w:val="00B4068D"/>
    <w:rsid w:val="00B5557C"/>
    <w:rsid w:val="00B80BB2"/>
    <w:rsid w:val="00B95BE5"/>
    <w:rsid w:val="00BD1225"/>
    <w:rsid w:val="00BE502E"/>
    <w:rsid w:val="00C3199B"/>
    <w:rsid w:val="00C746DC"/>
    <w:rsid w:val="00C76E4E"/>
    <w:rsid w:val="00C87749"/>
    <w:rsid w:val="00C93910"/>
    <w:rsid w:val="00CB1941"/>
    <w:rsid w:val="00D15748"/>
    <w:rsid w:val="00D17A76"/>
    <w:rsid w:val="00D87F2B"/>
    <w:rsid w:val="00D91D1A"/>
    <w:rsid w:val="00DB4A36"/>
    <w:rsid w:val="00DB6C6C"/>
    <w:rsid w:val="00DE160A"/>
    <w:rsid w:val="00DE71B3"/>
    <w:rsid w:val="00E0125D"/>
    <w:rsid w:val="00E06F4A"/>
    <w:rsid w:val="00E13050"/>
    <w:rsid w:val="00E33CFC"/>
    <w:rsid w:val="00E460B0"/>
    <w:rsid w:val="00E60A63"/>
    <w:rsid w:val="00E63A48"/>
    <w:rsid w:val="00E77527"/>
    <w:rsid w:val="00EC72D9"/>
    <w:rsid w:val="00EF3491"/>
    <w:rsid w:val="00F62D8A"/>
    <w:rsid w:val="00FB4200"/>
    <w:rsid w:val="00FF235D"/>
    <w:rsid w:val="00FF3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paragraph" w:styleId="BalloonText">
    <w:name w:val="Balloon Text"/>
    <w:basedOn w:val="Normal"/>
    <w:link w:val="BalloonTextChar"/>
    <w:uiPriority w:val="99"/>
    <w:semiHidden/>
    <w:unhideWhenUsed/>
    <w:rsid w:val="00151043"/>
    <w:rPr>
      <w:rFonts w:ascii="Tahoma" w:hAnsi="Tahoma" w:cs="Tahoma"/>
      <w:sz w:val="16"/>
      <w:szCs w:val="16"/>
    </w:rPr>
  </w:style>
  <w:style w:type="character" w:customStyle="1" w:styleId="BalloonTextChar">
    <w:name w:val="Balloon Text Char"/>
    <w:basedOn w:val="DefaultParagraphFont"/>
    <w:link w:val="BalloonText"/>
    <w:uiPriority w:val="99"/>
    <w:semiHidden/>
    <w:rsid w:val="001510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8338">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797842268">
      <w:bodyDiv w:val="1"/>
      <w:marLeft w:val="0"/>
      <w:marRight w:val="0"/>
      <w:marTop w:val="0"/>
      <w:marBottom w:val="0"/>
      <w:divBdr>
        <w:top w:val="none" w:sz="0" w:space="0" w:color="auto"/>
        <w:left w:val="none" w:sz="0" w:space="0" w:color="auto"/>
        <w:bottom w:val="none" w:sz="0" w:space="0" w:color="auto"/>
        <w:right w:val="none" w:sz="0" w:space="0" w:color="auto"/>
      </w:divBdr>
    </w:div>
    <w:div w:id="1003776143">
      <w:bodyDiv w:val="1"/>
      <w:marLeft w:val="0"/>
      <w:marRight w:val="0"/>
      <w:marTop w:val="0"/>
      <w:marBottom w:val="0"/>
      <w:divBdr>
        <w:top w:val="none" w:sz="0" w:space="0" w:color="auto"/>
        <w:left w:val="none" w:sz="0" w:space="0" w:color="auto"/>
        <w:bottom w:val="none" w:sz="0" w:space="0" w:color="auto"/>
        <w:right w:val="none" w:sz="0" w:space="0" w:color="auto"/>
      </w:divBdr>
    </w:div>
    <w:div w:id="1093748810">
      <w:bodyDiv w:val="1"/>
      <w:marLeft w:val="0"/>
      <w:marRight w:val="0"/>
      <w:marTop w:val="0"/>
      <w:marBottom w:val="0"/>
      <w:divBdr>
        <w:top w:val="none" w:sz="0" w:space="0" w:color="auto"/>
        <w:left w:val="none" w:sz="0" w:space="0" w:color="auto"/>
        <w:bottom w:val="none" w:sz="0" w:space="0" w:color="auto"/>
        <w:right w:val="none" w:sz="0" w:space="0" w:color="auto"/>
      </w:divBdr>
    </w:div>
    <w:div w:id="1572961230">
      <w:bodyDiv w:val="1"/>
      <w:marLeft w:val="0"/>
      <w:marRight w:val="0"/>
      <w:marTop w:val="0"/>
      <w:marBottom w:val="0"/>
      <w:divBdr>
        <w:top w:val="none" w:sz="0" w:space="0" w:color="auto"/>
        <w:left w:val="none" w:sz="0" w:space="0" w:color="auto"/>
        <w:bottom w:val="none" w:sz="0" w:space="0" w:color="auto"/>
        <w:right w:val="none" w:sz="0" w:space="0" w:color="auto"/>
      </w:divBdr>
    </w:div>
    <w:div w:id="17695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4390</Words>
  <Characters>2503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81</cp:revision>
  <cp:lastPrinted>2016-08-10T09:23:00Z</cp:lastPrinted>
  <dcterms:created xsi:type="dcterms:W3CDTF">2015-03-19T13:27:00Z</dcterms:created>
  <dcterms:modified xsi:type="dcterms:W3CDTF">2017-06-19T09:52:00Z</dcterms:modified>
</cp:coreProperties>
</file>