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11" w:rsidRDefault="00272811" w:rsidP="00272811">
      <w:pPr>
        <w:jc w:val="center"/>
        <w:rPr>
          <w:b/>
        </w:rPr>
      </w:pPr>
      <w:r>
        <w:rPr>
          <w:b/>
        </w:rPr>
        <w:t>Ādažu novada domes</w:t>
      </w:r>
    </w:p>
    <w:p w:rsidR="00272811" w:rsidRDefault="00272811" w:rsidP="00272811">
      <w:pPr>
        <w:jc w:val="center"/>
        <w:rPr>
          <w:b/>
        </w:rPr>
      </w:pPr>
      <w:r>
        <w:rPr>
          <w:b/>
        </w:rPr>
        <w:t>iepirkuma</w:t>
      </w:r>
    </w:p>
    <w:p w:rsidR="00272811" w:rsidRDefault="00272811" w:rsidP="00272811">
      <w:pPr>
        <w:jc w:val="center"/>
        <w:rPr>
          <w:b/>
          <w:sz w:val="8"/>
          <w:szCs w:val="8"/>
        </w:rPr>
      </w:pPr>
    </w:p>
    <w:p w:rsidR="00272811" w:rsidRDefault="00272811" w:rsidP="006208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3D1793">
        <w:rPr>
          <w:rStyle w:val="Heading1Char"/>
          <w:b/>
        </w:rPr>
        <w:t>Muižas ielas pārbūve</w:t>
      </w:r>
      <w:r>
        <w:rPr>
          <w:b/>
          <w:sz w:val="28"/>
          <w:szCs w:val="28"/>
        </w:rPr>
        <w:t>”</w:t>
      </w:r>
    </w:p>
    <w:p w:rsidR="00272811" w:rsidRDefault="003D1793" w:rsidP="00272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(ID.Nr. ĀND 2017/01</w:t>
      </w:r>
      <w:r w:rsidR="00272811">
        <w:rPr>
          <w:b/>
          <w:sz w:val="28"/>
          <w:szCs w:val="28"/>
        </w:rPr>
        <w:t>)</w:t>
      </w:r>
    </w:p>
    <w:p w:rsidR="00272811" w:rsidRDefault="00272811" w:rsidP="00272811">
      <w:pPr>
        <w:jc w:val="center"/>
        <w:rPr>
          <w:sz w:val="8"/>
          <w:szCs w:val="8"/>
        </w:rPr>
      </w:pPr>
    </w:p>
    <w:p w:rsidR="00272811" w:rsidRDefault="00272811" w:rsidP="00272811">
      <w:pPr>
        <w:jc w:val="center"/>
        <w:rPr>
          <w:sz w:val="8"/>
          <w:szCs w:val="8"/>
        </w:rPr>
      </w:pPr>
    </w:p>
    <w:p w:rsidR="00272811" w:rsidRDefault="00272811" w:rsidP="00272811">
      <w:pPr>
        <w:jc w:val="center"/>
      </w:pPr>
      <w:r>
        <w:t>iepirkuma komisijas sēdes</w:t>
      </w:r>
    </w:p>
    <w:p w:rsidR="00272811" w:rsidRDefault="00272811" w:rsidP="00272811">
      <w:pPr>
        <w:rPr>
          <w:sz w:val="8"/>
          <w:szCs w:val="8"/>
        </w:rPr>
      </w:pPr>
    </w:p>
    <w:p w:rsidR="00272811" w:rsidRDefault="00272811" w:rsidP="00272811">
      <w:pPr>
        <w:pStyle w:val="Heading1"/>
        <w:rPr>
          <w:b/>
          <w:bCs/>
          <w:sz w:val="24"/>
        </w:rPr>
      </w:pPr>
      <w:r>
        <w:rPr>
          <w:b/>
          <w:bCs/>
          <w:sz w:val="24"/>
        </w:rPr>
        <w:t>PROTOKOLS</w:t>
      </w:r>
      <w:r w:rsidR="003D1793">
        <w:rPr>
          <w:b/>
        </w:rPr>
        <w:t xml:space="preserve"> Nr.05-30-2017/01</w:t>
      </w:r>
      <w:r w:rsidR="006B2C5B">
        <w:rPr>
          <w:b/>
        </w:rPr>
        <w:t>-</w:t>
      </w:r>
      <w:r w:rsidR="008A0107">
        <w:rPr>
          <w:b/>
        </w:rPr>
        <w:t>3</w:t>
      </w:r>
    </w:p>
    <w:p w:rsidR="00272811" w:rsidRDefault="00272811" w:rsidP="00272811"/>
    <w:tbl>
      <w:tblPr>
        <w:tblW w:w="9322" w:type="dxa"/>
        <w:tblLook w:val="01E0" w:firstRow="1" w:lastRow="1" w:firstColumn="1" w:lastColumn="1" w:noHBand="0" w:noVBand="0"/>
      </w:tblPr>
      <w:tblGrid>
        <w:gridCol w:w="4261"/>
        <w:gridCol w:w="5061"/>
      </w:tblGrid>
      <w:tr w:rsidR="00272811" w:rsidTr="00272811">
        <w:tc>
          <w:tcPr>
            <w:tcW w:w="4261" w:type="dxa"/>
            <w:hideMark/>
          </w:tcPr>
          <w:p w:rsidR="00272811" w:rsidRDefault="00272811">
            <w:r>
              <w:t>Ādažos</w:t>
            </w:r>
          </w:p>
        </w:tc>
        <w:tc>
          <w:tcPr>
            <w:tcW w:w="5061" w:type="dxa"/>
            <w:hideMark/>
          </w:tcPr>
          <w:p w:rsidR="00272811" w:rsidRDefault="003D1793" w:rsidP="008A0107">
            <w:pPr>
              <w:jc w:val="right"/>
            </w:pPr>
            <w:r>
              <w:rPr>
                <w:b/>
              </w:rPr>
              <w:t>2017</w:t>
            </w:r>
            <w:r w:rsidR="002716BB">
              <w:rPr>
                <w:b/>
              </w:rPr>
              <w:t xml:space="preserve">. gada </w:t>
            </w:r>
            <w:r w:rsidR="008A0107">
              <w:rPr>
                <w:b/>
              </w:rPr>
              <w:t>7</w:t>
            </w:r>
            <w:r w:rsidR="0030500F">
              <w:rPr>
                <w:b/>
              </w:rPr>
              <w:t>.</w:t>
            </w:r>
            <w:r w:rsidR="008A0107">
              <w:rPr>
                <w:b/>
              </w:rPr>
              <w:t>marta</w:t>
            </w:r>
          </w:p>
        </w:tc>
      </w:tr>
    </w:tbl>
    <w:p w:rsidR="00272811" w:rsidRDefault="00272811" w:rsidP="0027281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272811" w:rsidRDefault="00272811" w:rsidP="00272811">
      <w:pPr>
        <w:pStyle w:val="Heading2"/>
        <w:rPr>
          <w:sz w:val="24"/>
        </w:rPr>
      </w:pPr>
      <w:r>
        <w:rPr>
          <w:b/>
          <w:bCs/>
          <w:sz w:val="24"/>
        </w:rPr>
        <w:t>Sēde sākās:</w:t>
      </w:r>
      <w:r>
        <w:rPr>
          <w:sz w:val="24"/>
        </w:rPr>
        <w:t xml:space="preserve"> </w:t>
      </w:r>
    </w:p>
    <w:p w:rsidR="00272811" w:rsidRDefault="00272811" w:rsidP="00272811">
      <w:pPr>
        <w:pStyle w:val="Heading2"/>
        <w:ind w:firstLine="720"/>
        <w:rPr>
          <w:sz w:val="24"/>
        </w:rPr>
      </w:pPr>
      <w:r>
        <w:rPr>
          <w:sz w:val="24"/>
        </w:rPr>
        <w:t>Komisijas priekšsēdētājs atklāj sēdi</w:t>
      </w:r>
      <w:r w:rsidR="00F30832">
        <w:rPr>
          <w:sz w:val="24"/>
        </w:rPr>
        <w:t xml:space="preserve"> plkst. 10</w:t>
      </w:r>
      <w:r>
        <w:rPr>
          <w:sz w:val="24"/>
        </w:rPr>
        <w:t>.00.</w:t>
      </w:r>
    </w:p>
    <w:p w:rsidR="00272811" w:rsidRDefault="00272811" w:rsidP="00272811">
      <w:pPr>
        <w:jc w:val="both"/>
        <w:rPr>
          <w:b/>
          <w:bCs/>
        </w:rPr>
      </w:pPr>
    </w:p>
    <w:p w:rsidR="00272811" w:rsidRDefault="00272811" w:rsidP="00272811">
      <w:pPr>
        <w:jc w:val="both"/>
        <w:rPr>
          <w:b/>
          <w:bCs/>
        </w:rPr>
      </w:pPr>
      <w:r>
        <w:rPr>
          <w:b/>
          <w:bCs/>
        </w:rPr>
        <w:t>Sēdē piedalās: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060"/>
        <w:gridCol w:w="4680"/>
      </w:tblGrid>
      <w:tr w:rsidR="00E656DF" w:rsidTr="00272811">
        <w:tc>
          <w:tcPr>
            <w:tcW w:w="3060" w:type="dxa"/>
          </w:tcPr>
          <w:p w:rsidR="00E656DF" w:rsidRDefault="00E656DF" w:rsidP="00E656DF">
            <w:pPr>
              <w:ind w:left="72" w:right="-694"/>
              <w:jc w:val="both"/>
            </w:pPr>
            <w:r>
              <w:t xml:space="preserve">Komisijas priekšsēdētājs: </w:t>
            </w:r>
          </w:p>
          <w:p w:rsidR="00E656DF" w:rsidRDefault="00E656DF" w:rsidP="00E656DF">
            <w:pPr>
              <w:ind w:left="72" w:right="-694"/>
              <w:jc w:val="both"/>
            </w:pPr>
            <w:r>
              <w:t>Komisijas locekļi:</w:t>
            </w:r>
          </w:p>
          <w:p w:rsidR="00E656DF" w:rsidRDefault="00E656DF" w:rsidP="00E656DF">
            <w:pPr>
              <w:ind w:left="72" w:right="-694"/>
              <w:jc w:val="both"/>
            </w:pPr>
          </w:p>
          <w:p w:rsidR="00E656DF" w:rsidRDefault="00E656DF" w:rsidP="00E656DF">
            <w:pPr>
              <w:ind w:left="72" w:right="-694"/>
              <w:jc w:val="both"/>
            </w:pPr>
          </w:p>
          <w:p w:rsidR="00E656DF" w:rsidRDefault="00E656DF" w:rsidP="00E656DF">
            <w:pPr>
              <w:ind w:left="72" w:right="-694"/>
              <w:jc w:val="both"/>
            </w:pPr>
          </w:p>
        </w:tc>
        <w:tc>
          <w:tcPr>
            <w:tcW w:w="4680" w:type="dxa"/>
            <w:hideMark/>
          </w:tcPr>
          <w:p w:rsidR="00E656DF" w:rsidRDefault="00E656DF" w:rsidP="00E656DF">
            <w:pPr>
              <w:ind w:right="-694"/>
              <w:jc w:val="both"/>
            </w:pPr>
            <w:r>
              <w:t>Artis Brūvers</w:t>
            </w:r>
          </w:p>
          <w:p w:rsidR="005913ED" w:rsidRDefault="005913ED" w:rsidP="00E656DF">
            <w:pPr>
              <w:jc w:val="both"/>
            </w:pPr>
            <w:r>
              <w:t>Everita Kāpa</w:t>
            </w:r>
          </w:p>
          <w:p w:rsidR="0030500F" w:rsidRDefault="0030500F" w:rsidP="00E656DF">
            <w:pPr>
              <w:jc w:val="both"/>
            </w:pPr>
            <w:r>
              <w:t>Rita Šteina</w:t>
            </w:r>
          </w:p>
          <w:p w:rsidR="00E656DF" w:rsidRDefault="00E656DF" w:rsidP="00E656DF">
            <w:pPr>
              <w:jc w:val="both"/>
            </w:pPr>
            <w:r>
              <w:t>Uģis Dambis</w:t>
            </w:r>
          </w:p>
          <w:p w:rsidR="00E656DF" w:rsidRDefault="003D1793" w:rsidP="00E656DF">
            <w:pPr>
              <w:jc w:val="both"/>
            </w:pPr>
            <w:r>
              <w:t>Halfors Krasts</w:t>
            </w:r>
          </w:p>
          <w:p w:rsidR="0030500F" w:rsidRDefault="0030500F" w:rsidP="00E656DF">
            <w:pPr>
              <w:jc w:val="both"/>
            </w:pPr>
            <w:r>
              <w:t>Valērijs Bulāns</w:t>
            </w:r>
          </w:p>
          <w:p w:rsidR="00E656DF" w:rsidRDefault="00E656DF" w:rsidP="00E656DF">
            <w:pPr>
              <w:jc w:val="both"/>
            </w:pPr>
          </w:p>
        </w:tc>
      </w:tr>
    </w:tbl>
    <w:p w:rsidR="00272811" w:rsidRDefault="00272811" w:rsidP="00272811">
      <w:pPr>
        <w:rPr>
          <w:b/>
        </w:rPr>
      </w:pPr>
      <w:r>
        <w:rPr>
          <w:b/>
        </w:rPr>
        <w:t xml:space="preserve">Komisijas izveides pamats: </w:t>
      </w:r>
    </w:p>
    <w:p w:rsidR="00F30832" w:rsidRDefault="00F30832" w:rsidP="00F30832">
      <w:pPr>
        <w:ind w:left="709" w:right="26"/>
        <w:jc w:val="both"/>
        <w:rPr>
          <w:color w:val="FF0000"/>
        </w:rPr>
      </w:pPr>
      <w:r>
        <w:t xml:space="preserve">Ādažu novada domes 2013.gada 24.septembra 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>
          <w:t>lēmums</w:t>
        </w:r>
      </w:smartTag>
      <w:r>
        <w:t xml:space="preserve"> Nr. 215. un Ādažu novada domes 2014.gada 28.jūlija ārkārtas domes sēdes lēmums Nr. 17§ 2.</w:t>
      </w:r>
    </w:p>
    <w:p w:rsidR="000C31E3" w:rsidRDefault="000C31E3" w:rsidP="00B27748">
      <w:pPr>
        <w:ind w:left="720"/>
        <w:jc w:val="both"/>
        <w:rPr>
          <w:b/>
          <w:bCs/>
        </w:rPr>
      </w:pPr>
    </w:p>
    <w:p w:rsidR="00272811" w:rsidRDefault="00272811" w:rsidP="00272811">
      <w:pPr>
        <w:jc w:val="both"/>
      </w:pPr>
      <w:r>
        <w:rPr>
          <w:b/>
          <w:bCs/>
        </w:rPr>
        <w:t>Darba kārtībā:</w:t>
      </w:r>
    </w:p>
    <w:p w:rsidR="00272811" w:rsidRDefault="008A0107" w:rsidP="00272811">
      <w:pPr>
        <w:tabs>
          <w:tab w:val="left" w:pos="993"/>
        </w:tabs>
        <w:ind w:left="709"/>
        <w:jc w:val="both"/>
      </w:pPr>
      <w:r>
        <w:t>Skaidrojumu sniegšana par</w:t>
      </w:r>
      <w:r w:rsidR="00B77AC0">
        <w:t xml:space="preserve"> iepirkuma</w:t>
      </w:r>
      <w:r w:rsidR="00272811">
        <w:t xml:space="preserve"> </w:t>
      </w:r>
      <w:r w:rsidR="00272811" w:rsidRPr="00E77527">
        <w:t>„</w:t>
      </w:r>
      <w:r w:rsidR="003D1793">
        <w:rPr>
          <w:rStyle w:val="Heading1Char"/>
          <w:sz w:val="24"/>
        </w:rPr>
        <w:t>Muižas ielas pārbūve</w:t>
      </w:r>
      <w:r w:rsidR="006B68BA" w:rsidRPr="00E77527">
        <w:t>”</w:t>
      </w:r>
      <w:r w:rsidR="00E77527">
        <w:t xml:space="preserve"> </w:t>
      </w:r>
      <w:r w:rsidR="003D1793">
        <w:t>(ID.Nr.: ĀND 2017</w:t>
      </w:r>
      <w:r w:rsidR="006B68BA">
        <w:t>/</w:t>
      </w:r>
      <w:r w:rsidR="003D1793">
        <w:t>01</w:t>
      </w:r>
      <w:r w:rsidR="00272811">
        <w:t xml:space="preserve">) </w:t>
      </w:r>
      <w:r w:rsidR="00B77AC0">
        <w:t>nolikum</w:t>
      </w:r>
      <w:r>
        <w:t>u</w:t>
      </w:r>
      <w:r w:rsidR="00272811">
        <w:t>.</w:t>
      </w:r>
    </w:p>
    <w:p w:rsidR="000C31E3" w:rsidRDefault="000C31E3" w:rsidP="00272811">
      <w:pPr>
        <w:tabs>
          <w:tab w:val="left" w:pos="993"/>
        </w:tabs>
        <w:ind w:left="709"/>
        <w:jc w:val="both"/>
        <w:rPr>
          <w:b/>
        </w:rPr>
      </w:pPr>
    </w:p>
    <w:p w:rsidR="00272811" w:rsidRDefault="00272811" w:rsidP="00272811">
      <w:pPr>
        <w:jc w:val="both"/>
        <w:rPr>
          <w:b/>
        </w:rPr>
      </w:pPr>
      <w:r>
        <w:rPr>
          <w:b/>
        </w:rPr>
        <w:t>Darba gaita:</w:t>
      </w:r>
    </w:p>
    <w:p w:rsidR="00023654" w:rsidRDefault="00B77AC0" w:rsidP="00B77AC0">
      <w:pPr>
        <w:pStyle w:val="ListParagraph"/>
        <w:numPr>
          <w:ilvl w:val="0"/>
          <w:numId w:val="3"/>
        </w:numPr>
        <w:ind w:left="709" w:hanging="709"/>
        <w:jc w:val="both"/>
      </w:pPr>
      <w:r>
        <w:t>R.Šteina ziņo par ieinteresētā pretendenta uzdotajiem jautājumiem par iepirkuma</w:t>
      </w:r>
      <w:r w:rsidR="00272811">
        <w:t xml:space="preserve"> </w:t>
      </w:r>
      <w:r w:rsidR="003D1793" w:rsidRPr="00E77527">
        <w:t>„</w:t>
      </w:r>
      <w:r w:rsidR="003D1793" w:rsidRPr="00B77AC0">
        <w:rPr>
          <w:rStyle w:val="Heading1Char"/>
          <w:sz w:val="24"/>
        </w:rPr>
        <w:t>Muižas ielas pārbūve</w:t>
      </w:r>
      <w:r w:rsidR="003D1793" w:rsidRPr="00E77527">
        <w:t>”</w:t>
      </w:r>
      <w:r w:rsidR="003D1793">
        <w:t xml:space="preserve"> (ID.Nr.: ĀND 2017/01)</w:t>
      </w:r>
      <w:r w:rsidR="00863C22">
        <w:t xml:space="preserve"> </w:t>
      </w:r>
      <w:r>
        <w:t>nolikum</w:t>
      </w:r>
      <w:r w:rsidR="008A0107">
        <w:t>u.</w:t>
      </w:r>
    </w:p>
    <w:p w:rsidR="00B77AC0" w:rsidRDefault="00B77AC0" w:rsidP="00B77AC0">
      <w:pPr>
        <w:pStyle w:val="ListParagraph"/>
        <w:numPr>
          <w:ilvl w:val="0"/>
          <w:numId w:val="3"/>
        </w:numPr>
        <w:ind w:left="709" w:hanging="709"/>
        <w:jc w:val="both"/>
      </w:pPr>
      <w:r>
        <w:t>Komisija apspriež ieinteresētā</w:t>
      </w:r>
      <w:r w:rsidR="00E86C5D">
        <w:t xml:space="preserve"> pretendenta uzdotos jautājumus un sniedzamās atbildes.</w:t>
      </w:r>
    </w:p>
    <w:p w:rsidR="00272811" w:rsidRDefault="00272811" w:rsidP="00023654">
      <w:pPr>
        <w:pStyle w:val="ListParagraph"/>
        <w:numPr>
          <w:ilvl w:val="0"/>
          <w:numId w:val="3"/>
        </w:numPr>
        <w:ind w:left="709" w:hanging="709"/>
        <w:jc w:val="both"/>
      </w:pPr>
      <w:r>
        <w:t xml:space="preserve">Komisija </w:t>
      </w:r>
      <w:r w:rsidR="00B77AC0">
        <w:t xml:space="preserve">lemj </w:t>
      </w:r>
      <w:r w:rsidR="00E86C5D">
        <w:t>sniegt šādas atbildes</w:t>
      </w:r>
      <w:r w:rsidR="00B77AC0">
        <w:t>:</w:t>
      </w:r>
    </w:p>
    <w:p w:rsidR="00B77AC0" w:rsidRDefault="00B77AC0" w:rsidP="00480122">
      <w:pPr>
        <w:pStyle w:val="ListParagraph"/>
        <w:ind w:left="709"/>
        <w:jc w:val="both"/>
      </w:pPr>
    </w:p>
    <w:tbl>
      <w:tblPr>
        <w:tblStyle w:val="TableGrid"/>
        <w:tblW w:w="10349" w:type="dxa"/>
        <w:tblInd w:w="-885" w:type="dxa"/>
        <w:tblLook w:val="04A0" w:firstRow="1" w:lastRow="0" w:firstColumn="1" w:lastColumn="0" w:noHBand="0" w:noVBand="1"/>
      </w:tblPr>
      <w:tblGrid>
        <w:gridCol w:w="1230"/>
        <w:gridCol w:w="4614"/>
        <w:gridCol w:w="4505"/>
      </w:tblGrid>
      <w:tr w:rsidR="00480122" w:rsidTr="00B13145">
        <w:tc>
          <w:tcPr>
            <w:tcW w:w="1230" w:type="dxa"/>
            <w:shd w:val="clear" w:color="auto" w:fill="EAF1DD" w:themeFill="accent3" w:themeFillTint="33"/>
          </w:tcPr>
          <w:p w:rsidR="00480122" w:rsidRPr="00B13145" w:rsidRDefault="00480122" w:rsidP="00480122">
            <w:pPr>
              <w:pStyle w:val="ListParagraph"/>
              <w:ind w:left="0"/>
              <w:jc w:val="both"/>
              <w:rPr>
                <w:b/>
              </w:rPr>
            </w:pPr>
            <w:r w:rsidRPr="00B13145">
              <w:rPr>
                <w:b/>
              </w:rPr>
              <w:t>Nolikuma punkts</w:t>
            </w:r>
          </w:p>
        </w:tc>
        <w:tc>
          <w:tcPr>
            <w:tcW w:w="4614" w:type="dxa"/>
            <w:shd w:val="clear" w:color="auto" w:fill="EAF1DD" w:themeFill="accent3" w:themeFillTint="33"/>
          </w:tcPr>
          <w:p w:rsidR="00480122" w:rsidRPr="00B13145" w:rsidRDefault="00480122" w:rsidP="00480122">
            <w:pPr>
              <w:pStyle w:val="ListParagraph"/>
              <w:ind w:left="0"/>
              <w:jc w:val="both"/>
              <w:rPr>
                <w:b/>
              </w:rPr>
            </w:pPr>
            <w:r w:rsidRPr="00B13145">
              <w:rPr>
                <w:b/>
              </w:rPr>
              <w:t>Redakcija pirms precizējumiem</w:t>
            </w:r>
          </w:p>
        </w:tc>
        <w:tc>
          <w:tcPr>
            <w:tcW w:w="4505" w:type="dxa"/>
            <w:shd w:val="clear" w:color="auto" w:fill="EAF1DD" w:themeFill="accent3" w:themeFillTint="33"/>
          </w:tcPr>
          <w:p w:rsidR="00480122" w:rsidRPr="00B13145" w:rsidRDefault="00480122" w:rsidP="00480122">
            <w:pPr>
              <w:pStyle w:val="ListParagraph"/>
              <w:ind w:left="0"/>
              <w:jc w:val="both"/>
              <w:rPr>
                <w:b/>
              </w:rPr>
            </w:pPr>
            <w:r w:rsidRPr="00B13145">
              <w:rPr>
                <w:b/>
              </w:rPr>
              <w:t>Precizētā redakcija</w:t>
            </w:r>
          </w:p>
        </w:tc>
      </w:tr>
      <w:tr w:rsidR="00480122" w:rsidTr="00B13145">
        <w:tc>
          <w:tcPr>
            <w:tcW w:w="1230" w:type="dxa"/>
          </w:tcPr>
          <w:p w:rsidR="00480122" w:rsidRPr="00BB2EB3" w:rsidRDefault="00480122" w:rsidP="00480122">
            <w:pPr>
              <w:pStyle w:val="ListParagraph"/>
              <w:ind w:left="0"/>
              <w:jc w:val="both"/>
            </w:pPr>
          </w:p>
        </w:tc>
        <w:tc>
          <w:tcPr>
            <w:tcW w:w="4614" w:type="dxa"/>
          </w:tcPr>
          <w:p w:rsidR="00EC665C" w:rsidRPr="00BB2EB3" w:rsidRDefault="00EC665C" w:rsidP="00EC665C">
            <w:pPr>
              <w:rPr>
                <w:b/>
                <w:bCs/>
                <w:lang w:eastAsia="lv-LV"/>
              </w:rPr>
            </w:pPr>
            <w:r w:rsidRPr="00BB2EB3">
              <w:rPr>
                <w:lang w:eastAsia="lv-LV"/>
              </w:rPr>
              <w:t xml:space="preserve">Finanšu piedāvājuma “Būvniecības koptāmē” tiek norādīta </w:t>
            </w:r>
            <w:r w:rsidRPr="00BB2EB3">
              <w:rPr>
                <w:b/>
                <w:bCs/>
                <w:i/>
                <w:iCs/>
                <w:lang w:eastAsia="lv-LV"/>
              </w:rPr>
              <w:t>Finanšu rezerve neparedzētiem darbiem</w:t>
            </w:r>
            <w:r w:rsidRPr="00BB2EB3">
              <w:rPr>
                <w:lang w:eastAsia="lv-LV"/>
              </w:rPr>
              <w:t>,</w:t>
            </w:r>
            <w:r w:rsidRPr="00BB2EB3">
              <w:rPr>
                <w:b/>
                <w:bCs/>
                <w:lang w:eastAsia="lv-LV"/>
              </w:rPr>
              <w:t xml:space="preserve"> </w:t>
            </w:r>
            <w:r w:rsidRPr="00BB2EB3">
              <w:rPr>
                <w:lang w:eastAsia="lv-LV"/>
              </w:rPr>
              <w:t>taču nav noteikts tās apmērs.</w:t>
            </w:r>
            <w:r w:rsidRPr="00BB2EB3">
              <w:rPr>
                <w:b/>
                <w:bCs/>
                <w:lang w:eastAsia="lv-LV"/>
              </w:rPr>
              <w:t xml:space="preserve"> </w:t>
            </w:r>
            <w:r w:rsidRPr="00BB2EB3">
              <w:rPr>
                <w:lang w:eastAsia="lv-LV"/>
              </w:rPr>
              <w:t xml:space="preserve">Lūdzam Pasūtītāju precizēt tās apmēru? </w:t>
            </w:r>
          </w:p>
          <w:p w:rsidR="00480122" w:rsidRPr="00BB2EB3" w:rsidRDefault="00480122" w:rsidP="00480122">
            <w:pPr>
              <w:pStyle w:val="ListParagraph"/>
              <w:ind w:left="0"/>
              <w:jc w:val="both"/>
            </w:pPr>
          </w:p>
        </w:tc>
        <w:tc>
          <w:tcPr>
            <w:tcW w:w="4505" w:type="dxa"/>
          </w:tcPr>
          <w:p w:rsidR="00480122" w:rsidRPr="00691FAC" w:rsidRDefault="00847F37" w:rsidP="003D20B0">
            <w:pPr>
              <w:pStyle w:val="ListParagraph"/>
              <w:ind w:left="0"/>
              <w:jc w:val="both"/>
            </w:pPr>
            <w:r w:rsidRPr="00691FAC">
              <w:rPr>
                <w:bCs/>
                <w:iCs/>
                <w:lang w:eastAsia="lv-LV"/>
              </w:rPr>
              <w:t>Visas ar līguma izpildi saistītās izmaksas pretendentiem ir jāapzina un jāiekļauj kopējā līgumcenā. Būvniecības koptāmes sadaļa “Finanšu rezerve”</w:t>
            </w:r>
            <w:r w:rsidR="003D20B0" w:rsidRPr="00691FAC">
              <w:rPr>
                <w:bCs/>
                <w:iCs/>
                <w:lang w:eastAsia="lv-LV"/>
              </w:rPr>
              <w:t xml:space="preserve"> nav aizpildāma. Jebkurā gadījumā p</w:t>
            </w:r>
            <w:r w:rsidRPr="00691FAC">
              <w:rPr>
                <w:bCs/>
                <w:iCs/>
                <w:lang w:eastAsia="lv-LV"/>
              </w:rPr>
              <w:t>asūtītājs piedāvājumu izvērtēšanā ņems vērā pretendentu norādīto kopējo līgumcenu bez finanšu rezerves neparedzētiem darbiem.</w:t>
            </w:r>
          </w:p>
        </w:tc>
      </w:tr>
      <w:tr w:rsidR="00480122" w:rsidTr="00B13145">
        <w:tc>
          <w:tcPr>
            <w:tcW w:w="1230" w:type="dxa"/>
          </w:tcPr>
          <w:p w:rsidR="00480122" w:rsidRPr="00BB2EB3" w:rsidRDefault="00EC665C" w:rsidP="00480122">
            <w:pPr>
              <w:pStyle w:val="ListParagraph"/>
              <w:ind w:left="0"/>
              <w:jc w:val="both"/>
            </w:pPr>
            <w:r w:rsidRPr="00BB2EB3">
              <w:t>3.3.1., 4.2.2.</w:t>
            </w:r>
          </w:p>
        </w:tc>
        <w:tc>
          <w:tcPr>
            <w:tcW w:w="4614" w:type="dxa"/>
          </w:tcPr>
          <w:p w:rsidR="00EC665C" w:rsidRPr="00BB2EB3" w:rsidRDefault="00EC665C" w:rsidP="00EC665C">
            <w:pPr>
              <w:spacing w:line="276" w:lineRule="auto"/>
              <w:jc w:val="both"/>
            </w:pPr>
            <w:r w:rsidRPr="00BB2EB3">
              <w:t>L</w:t>
            </w:r>
            <w:r w:rsidRPr="00BB2EB3">
              <w:t>ūdzam Pasūtītāju apstiprināt, ka atbilstoši atklāta konkursa nolikuma </w:t>
            </w:r>
            <w:r w:rsidRPr="00BB2EB3">
              <w:rPr>
                <w:b/>
                <w:bCs/>
              </w:rPr>
              <w:t>3.3.1. punktam</w:t>
            </w:r>
            <w:r w:rsidRPr="00BB2EB3">
              <w:t xml:space="preserve"> un </w:t>
            </w:r>
            <w:r w:rsidRPr="00BB2EB3">
              <w:rPr>
                <w:b/>
                <w:bCs/>
              </w:rPr>
              <w:t xml:space="preserve">4.2.2. punktam </w:t>
            </w:r>
            <w:r w:rsidRPr="00BB2EB3">
              <w:t xml:space="preserve">par finanšu apgrozījumu, </w:t>
            </w:r>
            <w:r w:rsidRPr="00BB2EB3">
              <w:lastRenderedPageBreak/>
              <w:t xml:space="preserve">Pretendents </w:t>
            </w:r>
            <w:r w:rsidRPr="00BB2EB3">
              <w:rPr>
                <w:b/>
                <w:bCs/>
                <w:u w:val="single"/>
              </w:rPr>
              <w:t>par 2016.gadu drīkst iesniegt operatīvos datus</w:t>
            </w:r>
            <w:r w:rsidRPr="00BB2EB3">
              <w:t xml:space="preserve">, jo pamatojoties uz </w:t>
            </w:r>
            <w:r w:rsidRPr="00BB2EB3">
              <w:rPr>
                <w:i/>
                <w:iCs/>
                <w:lang w:eastAsia="lv-LV"/>
              </w:rPr>
              <w:t xml:space="preserve">Gada pārskatu un </w:t>
            </w:r>
            <w:hyperlink r:id="rId6" w:tgtFrame="_blank" w:history="1">
              <w:r w:rsidRPr="00BB2EB3">
                <w:rPr>
                  <w:rStyle w:val="Hyperlink"/>
                  <w:i/>
                  <w:iCs/>
                  <w:lang w:eastAsia="lv-LV"/>
                </w:rPr>
                <w:t>konsolidēto gada pārskatu likum</w:t>
              </w:r>
            </w:hyperlink>
            <w:r w:rsidRPr="00BB2EB3">
              <w:rPr>
                <w:i/>
                <w:iCs/>
                <w:lang w:eastAsia="lv-LV"/>
              </w:rPr>
              <w:t xml:space="preserve">a </w:t>
            </w:r>
            <w:r w:rsidRPr="00BB2EB3">
              <w:rPr>
                <w:lang w:eastAsia="lv-LV"/>
              </w:rPr>
              <w:t xml:space="preserve">5.panta 1.daļas kritērijiem un saskaņā ar likuma 97.pantu, Pretendentam ir jāsagatavo gada pārskats ne vēlāk kā septiņus mēnešus pēc pārskata gada beigām. </w:t>
            </w:r>
          </w:p>
          <w:p w:rsidR="00480122" w:rsidRPr="00BB2EB3" w:rsidRDefault="00480122" w:rsidP="00480122">
            <w:pPr>
              <w:pStyle w:val="ListParagraph"/>
              <w:ind w:left="0"/>
              <w:jc w:val="both"/>
            </w:pPr>
          </w:p>
        </w:tc>
        <w:tc>
          <w:tcPr>
            <w:tcW w:w="4505" w:type="dxa"/>
          </w:tcPr>
          <w:p w:rsidR="00480122" w:rsidRPr="00BB2EB3" w:rsidRDefault="00BB2EB3" w:rsidP="00BB2EB3">
            <w:pPr>
              <w:pStyle w:val="ListParagraph"/>
              <w:ind w:left="0"/>
              <w:jc w:val="both"/>
            </w:pPr>
            <w:r w:rsidRPr="00BB2EB3">
              <w:lastRenderedPageBreak/>
              <w:t xml:space="preserve">Pretendents </w:t>
            </w:r>
            <w:r w:rsidRPr="00BB2EB3">
              <w:t xml:space="preserve">ir tiesīgs </w:t>
            </w:r>
            <w:r w:rsidRPr="00BB2EB3">
              <w:rPr>
                <w:bCs/>
              </w:rPr>
              <w:t>par 2016.gadu iesniegt operatīvos datus</w:t>
            </w:r>
            <w:r w:rsidRPr="00BB2EB3">
              <w:rPr>
                <w:bCs/>
              </w:rPr>
              <w:t>.</w:t>
            </w:r>
          </w:p>
        </w:tc>
      </w:tr>
    </w:tbl>
    <w:p w:rsidR="00480122" w:rsidRDefault="00480122" w:rsidP="00480122">
      <w:pPr>
        <w:pStyle w:val="ListParagraph"/>
        <w:ind w:left="709"/>
        <w:jc w:val="both"/>
      </w:pPr>
    </w:p>
    <w:p w:rsidR="00272811" w:rsidRDefault="00272811" w:rsidP="00272811">
      <w:pPr>
        <w:ind w:firstLine="720"/>
        <w:jc w:val="both"/>
      </w:pPr>
    </w:p>
    <w:p w:rsidR="00272811" w:rsidRDefault="00272811" w:rsidP="000C31E3">
      <w:pPr>
        <w:shd w:val="clear" w:color="auto" w:fill="DBE5F1" w:themeFill="accent1" w:themeFillTint="33"/>
        <w:jc w:val="both"/>
        <w:rPr>
          <w:b/>
          <w:bCs/>
        </w:rPr>
      </w:pPr>
      <w:r>
        <w:t xml:space="preserve"> </w:t>
      </w:r>
      <w:r>
        <w:rPr>
          <w:b/>
          <w:bCs/>
        </w:rPr>
        <w:t xml:space="preserve">Komisija nolemj: </w:t>
      </w:r>
    </w:p>
    <w:p w:rsidR="00272811" w:rsidRDefault="003216B9" w:rsidP="000C31E3">
      <w:pPr>
        <w:numPr>
          <w:ilvl w:val="0"/>
          <w:numId w:val="1"/>
        </w:numPr>
        <w:shd w:val="clear" w:color="auto" w:fill="DBE5F1" w:themeFill="accent1" w:themeFillTint="33"/>
        <w:tabs>
          <w:tab w:val="num" w:pos="720"/>
        </w:tabs>
        <w:ind w:left="720" w:hanging="720"/>
        <w:jc w:val="both"/>
      </w:pPr>
      <w:r>
        <w:t>Sniegt skaidrojumus par</w:t>
      </w:r>
      <w:r w:rsidR="00D95FC9">
        <w:t xml:space="preserve"> iepirkuma </w:t>
      </w:r>
      <w:r w:rsidR="00D6257C" w:rsidRPr="00E77527">
        <w:t>„</w:t>
      </w:r>
      <w:r w:rsidR="00D6257C">
        <w:rPr>
          <w:rStyle w:val="Heading1Char"/>
          <w:sz w:val="24"/>
        </w:rPr>
        <w:t>Muižas ielas pārbūve</w:t>
      </w:r>
      <w:r w:rsidR="00D6257C" w:rsidRPr="00E77527">
        <w:t>”</w:t>
      </w:r>
      <w:r w:rsidR="00D6257C">
        <w:t xml:space="preserve"> (ID.Nr.: ĀND 2017/01)</w:t>
      </w:r>
      <w:r w:rsidR="00FB4200">
        <w:t xml:space="preserve"> </w:t>
      </w:r>
      <w:r>
        <w:t>nolikumu</w:t>
      </w:r>
      <w:r w:rsidR="00D95FC9">
        <w:t xml:space="preserve">, ievietojot </w:t>
      </w:r>
      <w:r>
        <w:t>skaidrojumu</w:t>
      </w:r>
      <w:r w:rsidR="00D95FC9">
        <w:t xml:space="preserve"> ĀND mājaslapā</w:t>
      </w:r>
      <w:r w:rsidR="00D95FC9">
        <w:rPr>
          <w:i/>
        </w:rPr>
        <w:t>;</w:t>
      </w:r>
    </w:p>
    <w:p w:rsidR="00272811" w:rsidRDefault="00D95FC9" w:rsidP="000C31E3">
      <w:pPr>
        <w:numPr>
          <w:ilvl w:val="0"/>
          <w:numId w:val="1"/>
        </w:numPr>
        <w:shd w:val="clear" w:color="auto" w:fill="DBE5F1" w:themeFill="accent1" w:themeFillTint="33"/>
        <w:tabs>
          <w:tab w:val="num" w:pos="720"/>
        </w:tabs>
        <w:ind w:left="720" w:hanging="720"/>
        <w:jc w:val="both"/>
      </w:pPr>
      <w:r>
        <w:t xml:space="preserve">Informēt ieinteresēto pretendentu par </w:t>
      </w:r>
      <w:r w:rsidR="003216B9">
        <w:t>sagatavotajiem skaidrojumiem</w:t>
      </w:r>
      <w:r>
        <w:t>.</w:t>
      </w:r>
    </w:p>
    <w:p w:rsidR="00272811" w:rsidRDefault="00272811" w:rsidP="00272811">
      <w:pPr>
        <w:jc w:val="both"/>
        <w:rPr>
          <w:b/>
          <w:bCs/>
        </w:rPr>
      </w:pPr>
    </w:p>
    <w:p w:rsidR="00272811" w:rsidRDefault="00272811" w:rsidP="00272811">
      <w:pPr>
        <w:jc w:val="both"/>
      </w:pPr>
      <w:r>
        <w:rPr>
          <w:b/>
          <w:bCs/>
        </w:rPr>
        <w:t>Sēdi slēdz:</w:t>
      </w:r>
      <w:r>
        <w:t xml:space="preserve"> </w:t>
      </w:r>
    </w:p>
    <w:p w:rsidR="00272811" w:rsidRDefault="00272811" w:rsidP="00272811">
      <w:pPr>
        <w:ind w:firstLine="720"/>
        <w:jc w:val="both"/>
      </w:pPr>
      <w:r>
        <w:t>Komisijas pri</w:t>
      </w:r>
      <w:r w:rsidR="003A2DCD">
        <w:t>ekšsēdētājs sēdi slēdz plkst. 12</w:t>
      </w:r>
      <w:r>
        <w:t>:00.</w:t>
      </w:r>
    </w:p>
    <w:p w:rsidR="00272811" w:rsidRDefault="00272811" w:rsidP="00272811">
      <w:pPr>
        <w:jc w:val="both"/>
      </w:pPr>
    </w:p>
    <w:p w:rsidR="00272811" w:rsidRDefault="00272811" w:rsidP="00272811">
      <w:pPr>
        <w:jc w:val="both"/>
        <w:rPr>
          <w:b/>
        </w:rPr>
      </w:pPr>
      <w:r>
        <w:rPr>
          <w:b/>
        </w:rPr>
        <w:t xml:space="preserve">Pielikumā:    </w:t>
      </w:r>
    </w:p>
    <w:p w:rsidR="00272811" w:rsidRDefault="002A54C7" w:rsidP="00023654">
      <w:pPr>
        <w:numPr>
          <w:ilvl w:val="0"/>
          <w:numId w:val="2"/>
        </w:numPr>
        <w:ind w:hanging="720"/>
        <w:jc w:val="both"/>
      </w:pPr>
      <w:proofErr w:type="spellStart"/>
      <w:r>
        <w:t>Publikāci</w:t>
      </w:r>
      <w:r w:rsidR="00A162BE">
        <w:t>as</w:t>
      </w:r>
      <w:proofErr w:type="spellEnd"/>
      <w:r>
        <w:t xml:space="preserve"> izdrukas no ĀND </w:t>
      </w:r>
      <w:r w:rsidR="00A162BE">
        <w:t>mājaslapas</w:t>
      </w:r>
      <w:r w:rsidR="00B35B14">
        <w:t>;</w:t>
      </w:r>
    </w:p>
    <w:p w:rsidR="00B35B14" w:rsidRDefault="00B35B14" w:rsidP="00023654">
      <w:pPr>
        <w:numPr>
          <w:ilvl w:val="0"/>
          <w:numId w:val="2"/>
        </w:numPr>
        <w:ind w:hanging="720"/>
        <w:jc w:val="both"/>
      </w:pPr>
      <w:r>
        <w:t>INFO vēstule ieinteresētajam pretendentam;</w:t>
      </w:r>
    </w:p>
    <w:p w:rsidR="00B35B14" w:rsidRDefault="00B35B14" w:rsidP="00023654">
      <w:pPr>
        <w:numPr>
          <w:ilvl w:val="0"/>
          <w:numId w:val="2"/>
        </w:numPr>
        <w:ind w:hanging="720"/>
        <w:jc w:val="both"/>
      </w:pPr>
      <w:r>
        <w:t>Ieinteresētā pretendenta iesniegum</w:t>
      </w:r>
      <w:r w:rsidR="00A162BE">
        <w:t>i</w:t>
      </w:r>
      <w:bookmarkStart w:id="0" w:name="_GoBack"/>
      <w:bookmarkEnd w:id="0"/>
      <w:r>
        <w:t>.</w:t>
      </w:r>
    </w:p>
    <w:p w:rsidR="00272811" w:rsidRDefault="00272811" w:rsidP="00272811">
      <w:pPr>
        <w:jc w:val="both"/>
      </w:pPr>
    </w:p>
    <w:p w:rsidR="00272811" w:rsidRDefault="00272811" w:rsidP="00272811">
      <w:pPr>
        <w:jc w:val="both"/>
      </w:pPr>
    </w:p>
    <w:p w:rsidR="00272811" w:rsidRDefault="00272811" w:rsidP="00272811"/>
    <w:p w:rsidR="00272811" w:rsidRDefault="00272811" w:rsidP="00272811">
      <w:pPr>
        <w:jc w:val="both"/>
      </w:pPr>
    </w:p>
    <w:p w:rsidR="00E14B63" w:rsidRDefault="00E14B63" w:rsidP="00E14B63">
      <w:pPr>
        <w:ind w:right="-694"/>
        <w:jc w:val="both"/>
      </w:pPr>
      <w:r>
        <w:t xml:space="preserve">Komisijas priekšsēdētājs: </w:t>
      </w:r>
      <w:r>
        <w:tab/>
      </w:r>
      <w:r>
        <w:tab/>
        <w:t>_____________________</w:t>
      </w:r>
      <w:r>
        <w:tab/>
        <w:t xml:space="preserve">A. Brūvers </w:t>
      </w:r>
    </w:p>
    <w:p w:rsidR="00E14B63" w:rsidRDefault="00E14B63" w:rsidP="00E14B63">
      <w:pPr>
        <w:ind w:right="-694"/>
        <w:jc w:val="both"/>
      </w:pPr>
    </w:p>
    <w:p w:rsidR="00097C01" w:rsidRDefault="00E14B63" w:rsidP="00E14B63">
      <w:pPr>
        <w:ind w:right="-694"/>
        <w:jc w:val="both"/>
      </w:pPr>
      <w:r>
        <w:t>Komisijas locekļi:</w:t>
      </w:r>
      <w:r>
        <w:tab/>
      </w:r>
      <w:r w:rsidR="00097C01">
        <w:tab/>
      </w:r>
      <w:r w:rsidR="00097C01">
        <w:tab/>
        <w:t>_____________________</w:t>
      </w:r>
      <w:r w:rsidR="00097C01">
        <w:tab/>
        <w:t>E. Kāpa</w:t>
      </w:r>
    </w:p>
    <w:p w:rsidR="00E14B63" w:rsidRDefault="00E14B63" w:rsidP="00E14B63"/>
    <w:p w:rsidR="00E14B63" w:rsidRDefault="00E14B63" w:rsidP="00E14B63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H. Krasts</w:t>
      </w:r>
    </w:p>
    <w:p w:rsidR="0030500F" w:rsidRDefault="0030500F" w:rsidP="0030500F"/>
    <w:p w:rsidR="0030500F" w:rsidRDefault="0030500F" w:rsidP="0030500F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U. Dambis</w:t>
      </w:r>
    </w:p>
    <w:p w:rsidR="0030500F" w:rsidRDefault="0030500F" w:rsidP="0030500F"/>
    <w:p w:rsidR="0030500F" w:rsidRDefault="0030500F" w:rsidP="0030500F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R.Šteina</w:t>
      </w:r>
    </w:p>
    <w:p w:rsidR="0030500F" w:rsidRDefault="0030500F" w:rsidP="0030500F"/>
    <w:p w:rsidR="006B6501" w:rsidRDefault="0030500F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V.Bulāns</w:t>
      </w:r>
    </w:p>
    <w:sectPr w:rsidR="006B65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1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4F64"/>
    <w:multiLevelType w:val="hybridMultilevel"/>
    <w:tmpl w:val="91DA01DE"/>
    <w:lvl w:ilvl="0" w:tplc="7340D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13FE9"/>
    <w:multiLevelType w:val="hybridMultilevel"/>
    <w:tmpl w:val="CBEA7A40"/>
    <w:lvl w:ilvl="0" w:tplc="0426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2A5A55"/>
    <w:multiLevelType w:val="multilevel"/>
    <w:tmpl w:val="6A12D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29"/>
        </w:tabs>
        <w:ind w:left="4329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980"/>
        </w:tabs>
        <w:ind w:left="1980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C881048"/>
    <w:multiLevelType w:val="hybridMultilevel"/>
    <w:tmpl w:val="B4F21E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A1F31"/>
    <w:multiLevelType w:val="multilevel"/>
    <w:tmpl w:val="29283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29"/>
        </w:tabs>
        <w:ind w:left="4329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980"/>
        </w:tabs>
        <w:ind w:left="1980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82C79D8"/>
    <w:multiLevelType w:val="multilevel"/>
    <w:tmpl w:val="2B56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4C11B5"/>
    <w:multiLevelType w:val="hybridMultilevel"/>
    <w:tmpl w:val="4700203C"/>
    <w:lvl w:ilvl="0" w:tplc="C9F685B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62534C"/>
    <w:multiLevelType w:val="multilevel"/>
    <w:tmpl w:val="6A12D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29"/>
        </w:tabs>
        <w:ind w:left="4329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980"/>
        </w:tabs>
        <w:ind w:left="1980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AF520D6"/>
    <w:multiLevelType w:val="multilevel"/>
    <w:tmpl w:val="AFBA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062CCB"/>
    <w:multiLevelType w:val="multilevel"/>
    <w:tmpl w:val="29283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29"/>
        </w:tabs>
        <w:ind w:left="4329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980"/>
        </w:tabs>
        <w:ind w:left="1980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E4160DA"/>
    <w:multiLevelType w:val="multilevel"/>
    <w:tmpl w:val="8B5A6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29"/>
        </w:tabs>
        <w:ind w:left="4329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5D"/>
    <w:rsid w:val="00023654"/>
    <w:rsid w:val="00031EC3"/>
    <w:rsid w:val="0009587F"/>
    <w:rsid w:val="00097C01"/>
    <w:rsid w:val="000B0B2D"/>
    <w:rsid w:val="000C04A9"/>
    <w:rsid w:val="000C31E3"/>
    <w:rsid w:val="001464BD"/>
    <w:rsid w:val="00146516"/>
    <w:rsid w:val="00160123"/>
    <w:rsid w:val="001D5B3D"/>
    <w:rsid w:val="001E56B8"/>
    <w:rsid w:val="001F4577"/>
    <w:rsid w:val="0020090F"/>
    <w:rsid w:val="002716BB"/>
    <w:rsid w:val="00272811"/>
    <w:rsid w:val="002A1C45"/>
    <w:rsid w:val="002A54C7"/>
    <w:rsid w:val="002A72D5"/>
    <w:rsid w:val="002C6C19"/>
    <w:rsid w:val="0030500F"/>
    <w:rsid w:val="003216B9"/>
    <w:rsid w:val="003241BF"/>
    <w:rsid w:val="00347760"/>
    <w:rsid w:val="003511BA"/>
    <w:rsid w:val="00381801"/>
    <w:rsid w:val="003A2DCD"/>
    <w:rsid w:val="003D1793"/>
    <w:rsid w:val="003D20B0"/>
    <w:rsid w:val="003D52F4"/>
    <w:rsid w:val="003D78D5"/>
    <w:rsid w:val="003E6729"/>
    <w:rsid w:val="0045036C"/>
    <w:rsid w:val="0045072A"/>
    <w:rsid w:val="00463D9A"/>
    <w:rsid w:val="004671C4"/>
    <w:rsid w:val="00480122"/>
    <w:rsid w:val="00487F2D"/>
    <w:rsid w:val="004C478A"/>
    <w:rsid w:val="004E5069"/>
    <w:rsid w:val="00553B33"/>
    <w:rsid w:val="00570800"/>
    <w:rsid w:val="00580D28"/>
    <w:rsid w:val="005913ED"/>
    <w:rsid w:val="005D66B5"/>
    <w:rsid w:val="00600BFE"/>
    <w:rsid w:val="006208C5"/>
    <w:rsid w:val="00650725"/>
    <w:rsid w:val="00691FAC"/>
    <w:rsid w:val="006B2C5B"/>
    <w:rsid w:val="006B4E61"/>
    <w:rsid w:val="006B6501"/>
    <w:rsid w:val="006B68BA"/>
    <w:rsid w:val="006D295B"/>
    <w:rsid w:val="00706ADC"/>
    <w:rsid w:val="007079A4"/>
    <w:rsid w:val="00730804"/>
    <w:rsid w:val="0074567A"/>
    <w:rsid w:val="00766450"/>
    <w:rsid w:val="00805173"/>
    <w:rsid w:val="0083447E"/>
    <w:rsid w:val="00844A32"/>
    <w:rsid w:val="00847F37"/>
    <w:rsid w:val="00863C22"/>
    <w:rsid w:val="008A0107"/>
    <w:rsid w:val="008A2CC0"/>
    <w:rsid w:val="008C3F6F"/>
    <w:rsid w:val="00913B55"/>
    <w:rsid w:val="009234DE"/>
    <w:rsid w:val="00977787"/>
    <w:rsid w:val="009D16A3"/>
    <w:rsid w:val="00A162BE"/>
    <w:rsid w:val="00A47D1F"/>
    <w:rsid w:val="00A871A3"/>
    <w:rsid w:val="00A871CD"/>
    <w:rsid w:val="00AD78ED"/>
    <w:rsid w:val="00AE1844"/>
    <w:rsid w:val="00B13145"/>
    <w:rsid w:val="00B22AAB"/>
    <w:rsid w:val="00B23A4F"/>
    <w:rsid w:val="00B27748"/>
    <w:rsid w:val="00B30B65"/>
    <w:rsid w:val="00B35B14"/>
    <w:rsid w:val="00B4068D"/>
    <w:rsid w:val="00B5557C"/>
    <w:rsid w:val="00B77AC0"/>
    <w:rsid w:val="00B80BB2"/>
    <w:rsid w:val="00B95BE5"/>
    <w:rsid w:val="00BB2EB3"/>
    <w:rsid w:val="00BC0BF3"/>
    <w:rsid w:val="00BD1225"/>
    <w:rsid w:val="00BE502E"/>
    <w:rsid w:val="00C17C60"/>
    <w:rsid w:val="00C5515D"/>
    <w:rsid w:val="00C565B2"/>
    <w:rsid w:val="00C6015A"/>
    <w:rsid w:val="00C93910"/>
    <w:rsid w:val="00CB1941"/>
    <w:rsid w:val="00D15748"/>
    <w:rsid w:val="00D258F0"/>
    <w:rsid w:val="00D6257C"/>
    <w:rsid w:val="00D95FC9"/>
    <w:rsid w:val="00DA3822"/>
    <w:rsid w:val="00DB4A36"/>
    <w:rsid w:val="00DB6C6C"/>
    <w:rsid w:val="00DE160A"/>
    <w:rsid w:val="00DE71B3"/>
    <w:rsid w:val="00E0125D"/>
    <w:rsid w:val="00E14B63"/>
    <w:rsid w:val="00E33CFC"/>
    <w:rsid w:val="00E460B0"/>
    <w:rsid w:val="00E63A48"/>
    <w:rsid w:val="00E656DF"/>
    <w:rsid w:val="00E77527"/>
    <w:rsid w:val="00E86C5D"/>
    <w:rsid w:val="00EC665C"/>
    <w:rsid w:val="00EE0E18"/>
    <w:rsid w:val="00F3005C"/>
    <w:rsid w:val="00F30832"/>
    <w:rsid w:val="00F36BD8"/>
    <w:rsid w:val="00F4361E"/>
    <w:rsid w:val="00FB4200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Section Heading,heading1,Antraste 1,h1,Section Heading Char,heading1 Char,Antraste 1 Char,h1 Char,H1,Virsraksts 1"/>
    <w:basedOn w:val="Normal"/>
    <w:next w:val="Normal"/>
    <w:link w:val="Heading1Char"/>
    <w:qFormat/>
    <w:rsid w:val="0027281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2811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,Virsraksts 1 Char"/>
    <w:basedOn w:val="DefaultParagraphFont"/>
    <w:link w:val="Heading1"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272811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272811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50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654"/>
    <w:pPr>
      <w:ind w:left="720"/>
      <w:contextualSpacing/>
    </w:pPr>
  </w:style>
  <w:style w:type="table" w:styleId="TableGrid">
    <w:name w:val="Table Grid"/>
    <w:basedOn w:val="TableNormal"/>
    <w:uiPriority w:val="59"/>
    <w:rsid w:val="0048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,uvlaka 3,plain,plain Char,b1,uvlaka 31, uvlaka 3, uvlaka 31,Body Text Char1,Body Text Char Char,Body Text1"/>
    <w:basedOn w:val="Normal"/>
    <w:link w:val="BodyTextChar2"/>
    <w:rsid w:val="00BC0BF3"/>
    <w:pPr>
      <w:widowControl w:val="0"/>
      <w:spacing w:after="120"/>
    </w:pPr>
    <w:rPr>
      <w:rFonts w:ascii="RimTimes" w:hAnsi="RimTimes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BC0BF3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2">
    <w:name w:val="Body Text Char2"/>
    <w:aliases w:val="b Char,uvlaka 3 Char,plain Char1,plain Char Char,b1 Char,uvlaka 31 Char, uvlaka 3 Char, uvlaka 31 Char,Body Text Char1 Char,Body Text Char Char Char,Body Text1 Char"/>
    <w:link w:val="BodyText"/>
    <w:uiPriority w:val="99"/>
    <w:locked/>
    <w:rsid w:val="00BC0BF3"/>
    <w:rPr>
      <w:rFonts w:ascii="RimTimes" w:eastAsia="Times New Roman" w:hAnsi="Rim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Section Heading,heading1,Antraste 1,h1,Section Heading Char,heading1 Char,Antraste 1 Char,h1 Char,H1,Virsraksts 1"/>
    <w:basedOn w:val="Normal"/>
    <w:next w:val="Normal"/>
    <w:link w:val="Heading1Char"/>
    <w:qFormat/>
    <w:rsid w:val="0027281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2811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,Virsraksts 1 Char"/>
    <w:basedOn w:val="DefaultParagraphFont"/>
    <w:link w:val="Heading1"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272811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272811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50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654"/>
    <w:pPr>
      <w:ind w:left="720"/>
      <w:contextualSpacing/>
    </w:pPr>
  </w:style>
  <w:style w:type="table" w:styleId="TableGrid">
    <w:name w:val="Table Grid"/>
    <w:basedOn w:val="TableNormal"/>
    <w:uiPriority w:val="59"/>
    <w:rsid w:val="0048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,uvlaka 3,plain,plain Char,b1,uvlaka 31, uvlaka 3, uvlaka 31,Body Text Char1,Body Text Char Char,Body Text1"/>
    <w:basedOn w:val="Normal"/>
    <w:link w:val="BodyTextChar2"/>
    <w:rsid w:val="00BC0BF3"/>
    <w:pPr>
      <w:widowControl w:val="0"/>
      <w:spacing w:after="120"/>
    </w:pPr>
    <w:rPr>
      <w:rFonts w:ascii="RimTimes" w:hAnsi="RimTimes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BC0BF3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2">
    <w:name w:val="Body Text Char2"/>
    <w:aliases w:val="b Char,uvlaka 3 Char,plain Char1,plain Char Char,b1 Char,uvlaka 31 Char, uvlaka 3 Char, uvlaka 31 Char,Body Text Char1 Char,Body Text Char Char Char,Body Text1 Char"/>
    <w:link w:val="BodyText"/>
    <w:uiPriority w:val="99"/>
    <w:locked/>
    <w:rsid w:val="00BC0BF3"/>
    <w:rPr>
      <w:rFonts w:ascii="RimTimes" w:eastAsia="Times New Roman" w:hAnsi="Rim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ta/id/147385-konsolideto-gada-parskatu-liku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1752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Rita Šteina</cp:lastModifiedBy>
  <cp:revision>76</cp:revision>
  <dcterms:created xsi:type="dcterms:W3CDTF">2015-03-19T13:27:00Z</dcterms:created>
  <dcterms:modified xsi:type="dcterms:W3CDTF">2017-03-07T10:23:00Z</dcterms:modified>
</cp:coreProperties>
</file>