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90" w:rsidRDefault="00D52590" w:rsidP="00D52590">
      <w:pPr>
        <w:jc w:val="center"/>
        <w:rPr>
          <w:b/>
        </w:rPr>
      </w:pPr>
      <w:r>
        <w:rPr>
          <w:b/>
        </w:rPr>
        <w:t>METU KONKURSA</w:t>
      </w:r>
    </w:p>
    <w:p w:rsidR="00D52590" w:rsidRPr="00D52590" w:rsidRDefault="00D52590" w:rsidP="00D52590">
      <w:pPr>
        <w:jc w:val="center"/>
        <w:rPr>
          <w:b/>
        </w:rPr>
      </w:pPr>
    </w:p>
    <w:p w:rsidR="00D52590" w:rsidRDefault="00D52590" w:rsidP="00D52590">
      <w:pPr>
        <w:jc w:val="center"/>
        <w:rPr>
          <w:b/>
          <w:sz w:val="28"/>
          <w:szCs w:val="28"/>
        </w:rPr>
      </w:pPr>
      <w:r>
        <w:rPr>
          <w:b/>
          <w:sz w:val="28"/>
          <w:szCs w:val="28"/>
        </w:rPr>
        <w:t>„</w:t>
      </w:r>
      <w:r w:rsidRPr="00977787">
        <w:rPr>
          <w:rFonts w:ascii="Times New Roman Bold"/>
          <w:sz w:val="28"/>
          <w:szCs w:val="28"/>
        </w:rPr>
        <w:t xml:space="preserve">Jauna skolas </w:t>
      </w:r>
      <w:r w:rsidRPr="00977787">
        <w:rPr>
          <w:rFonts w:hAnsi="Times New Roman Bold"/>
          <w:sz w:val="28"/>
          <w:szCs w:val="28"/>
        </w:rPr>
        <w:t>ē</w:t>
      </w:r>
      <w:r w:rsidRPr="00977787">
        <w:rPr>
          <w:rFonts w:ascii="Times New Roman Bold"/>
          <w:sz w:val="28"/>
          <w:szCs w:val="28"/>
        </w:rPr>
        <w:t xml:space="preserve">ka </w:t>
      </w:r>
      <w:r w:rsidRPr="00977787">
        <w:rPr>
          <w:rFonts w:hAnsi="Times New Roman Bold"/>
          <w:sz w:val="28"/>
          <w:szCs w:val="28"/>
        </w:rPr>
        <w:t>Ā</w:t>
      </w:r>
      <w:r w:rsidRPr="00977787">
        <w:rPr>
          <w:rFonts w:ascii="Times New Roman Bold"/>
          <w:sz w:val="28"/>
          <w:szCs w:val="28"/>
        </w:rPr>
        <w:t>da</w:t>
      </w:r>
      <w:r w:rsidRPr="00977787">
        <w:rPr>
          <w:rFonts w:hAnsi="Times New Roman Bold"/>
          <w:sz w:val="28"/>
          <w:szCs w:val="28"/>
        </w:rPr>
        <w:t>ž</w:t>
      </w:r>
      <w:r w:rsidRPr="00977787">
        <w:rPr>
          <w:rFonts w:ascii="Times New Roman Bold"/>
          <w:sz w:val="28"/>
          <w:szCs w:val="28"/>
        </w:rPr>
        <w:t>os</w:t>
      </w:r>
      <w:r>
        <w:rPr>
          <w:b/>
          <w:sz w:val="28"/>
          <w:szCs w:val="28"/>
        </w:rPr>
        <w:t>”</w:t>
      </w:r>
    </w:p>
    <w:p w:rsidR="00D52590" w:rsidRDefault="00D52590" w:rsidP="00D52590">
      <w:pPr>
        <w:jc w:val="center"/>
        <w:rPr>
          <w:b/>
          <w:sz w:val="28"/>
          <w:szCs w:val="28"/>
        </w:rPr>
      </w:pPr>
      <w:r>
        <w:rPr>
          <w:b/>
          <w:sz w:val="28"/>
          <w:szCs w:val="28"/>
        </w:rPr>
        <w:t>(ID.Nr. ĀND 2016/38)</w:t>
      </w:r>
    </w:p>
    <w:p w:rsidR="00D52590" w:rsidRDefault="00D52590" w:rsidP="00D52590">
      <w:pPr>
        <w:jc w:val="center"/>
        <w:rPr>
          <w:sz w:val="8"/>
          <w:szCs w:val="8"/>
        </w:rPr>
      </w:pPr>
    </w:p>
    <w:p w:rsidR="00D52590" w:rsidRDefault="00D52590" w:rsidP="00D52590">
      <w:pPr>
        <w:jc w:val="center"/>
        <w:rPr>
          <w:sz w:val="8"/>
          <w:szCs w:val="8"/>
        </w:rPr>
      </w:pPr>
    </w:p>
    <w:p w:rsidR="00D52590" w:rsidRPr="00D52590" w:rsidRDefault="00D52590" w:rsidP="00D52590">
      <w:pPr>
        <w:pStyle w:val="Heading1"/>
        <w:rPr>
          <w:b/>
          <w:bCs/>
          <w:sz w:val="32"/>
          <w:szCs w:val="32"/>
        </w:rPr>
      </w:pPr>
      <w:r w:rsidRPr="00D52590">
        <w:rPr>
          <w:b/>
          <w:bCs/>
          <w:sz w:val="32"/>
          <w:szCs w:val="32"/>
        </w:rPr>
        <w:t>ŽŪRIJAS KOMISIJAS ATZINUMS</w:t>
      </w:r>
    </w:p>
    <w:p w:rsidR="00D52590" w:rsidRDefault="00D52590" w:rsidP="00D52590"/>
    <w:tbl>
      <w:tblPr>
        <w:tblW w:w="9322" w:type="dxa"/>
        <w:tblLook w:val="01E0" w:firstRow="1" w:lastRow="1" w:firstColumn="1" w:lastColumn="1" w:noHBand="0" w:noVBand="0"/>
      </w:tblPr>
      <w:tblGrid>
        <w:gridCol w:w="4261"/>
        <w:gridCol w:w="5061"/>
      </w:tblGrid>
      <w:tr w:rsidR="00D52590" w:rsidTr="009959C8">
        <w:tc>
          <w:tcPr>
            <w:tcW w:w="4261" w:type="dxa"/>
            <w:hideMark/>
          </w:tcPr>
          <w:p w:rsidR="00D52590" w:rsidRDefault="00D52590" w:rsidP="009959C8">
            <w:r>
              <w:t>Ādažos</w:t>
            </w:r>
          </w:p>
        </w:tc>
        <w:tc>
          <w:tcPr>
            <w:tcW w:w="5061" w:type="dxa"/>
            <w:hideMark/>
          </w:tcPr>
          <w:p w:rsidR="00D52590" w:rsidRDefault="00D52590" w:rsidP="00D52590">
            <w:pPr>
              <w:jc w:val="right"/>
              <w:rPr>
                <w:b/>
              </w:rPr>
            </w:pPr>
            <w:r>
              <w:rPr>
                <w:b/>
              </w:rPr>
              <w:t>2016. gada 1.jūnijā</w:t>
            </w:r>
          </w:p>
          <w:p w:rsidR="00D52590" w:rsidRDefault="00D52590" w:rsidP="00D52590">
            <w:pPr>
              <w:jc w:val="right"/>
            </w:pPr>
          </w:p>
        </w:tc>
      </w:tr>
    </w:tbl>
    <w:p w:rsidR="008F1EC2" w:rsidRDefault="008F1EC2" w:rsidP="008F1EC2">
      <w:pPr>
        <w:shd w:val="clear" w:color="auto" w:fill="EAF1DD" w:themeFill="accent3" w:themeFillTint="33"/>
        <w:ind w:left="709" w:right="43"/>
        <w:jc w:val="center"/>
        <w:rPr>
          <w:b/>
          <w:bCs/>
        </w:rPr>
      </w:pPr>
      <w:r>
        <w:rPr>
          <w:b/>
          <w:bCs/>
        </w:rPr>
        <w:t xml:space="preserve">KOMISIJAS </w:t>
      </w:r>
      <w:r w:rsidR="00F04D07">
        <w:rPr>
          <w:b/>
          <w:bCs/>
        </w:rPr>
        <w:t>SASTĀVS:</w:t>
      </w:r>
    </w:p>
    <w:tbl>
      <w:tblPr>
        <w:tblW w:w="0" w:type="auto"/>
        <w:tblInd w:w="648" w:type="dxa"/>
        <w:tblLook w:val="01E0" w:firstRow="1" w:lastRow="1" w:firstColumn="1" w:lastColumn="1" w:noHBand="0" w:noVBand="0"/>
      </w:tblPr>
      <w:tblGrid>
        <w:gridCol w:w="3060"/>
        <w:gridCol w:w="4680"/>
      </w:tblGrid>
      <w:tr w:rsidR="00D52590" w:rsidTr="009959C8">
        <w:tc>
          <w:tcPr>
            <w:tcW w:w="3060" w:type="dxa"/>
          </w:tcPr>
          <w:p w:rsidR="00D52590" w:rsidRPr="008F1EC2" w:rsidRDefault="00D52590" w:rsidP="008F1EC2">
            <w:pPr>
              <w:shd w:val="clear" w:color="auto" w:fill="EAF1DD" w:themeFill="accent3" w:themeFillTint="33"/>
              <w:ind w:left="72" w:right="-58"/>
              <w:jc w:val="center"/>
              <w:rPr>
                <w:b/>
              </w:rPr>
            </w:pPr>
            <w:r w:rsidRPr="008F1EC2">
              <w:rPr>
                <w:b/>
              </w:rPr>
              <w:t>Komisijas priekšsēdētājs:</w:t>
            </w:r>
          </w:p>
          <w:p w:rsidR="00D52590" w:rsidRPr="008F1EC2" w:rsidRDefault="00D52590" w:rsidP="008F1EC2">
            <w:pPr>
              <w:shd w:val="clear" w:color="auto" w:fill="EAF1DD" w:themeFill="accent3" w:themeFillTint="33"/>
              <w:ind w:left="72" w:right="-58"/>
              <w:jc w:val="center"/>
              <w:rPr>
                <w:b/>
              </w:rPr>
            </w:pPr>
            <w:r w:rsidRPr="008F1EC2">
              <w:rPr>
                <w:b/>
              </w:rPr>
              <w:t>Komisijas locekļi:</w:t>
            </w:r>
          </w:p>
          <w:p w:rsidR="00D52590" w:rsidRDefault="00D52590" w:rsidP="008F1EC2">
            <w:pPr>
              <w:shd w:val="clear" w:color="auto" w:fill="EAF1DD" w:themeFill="accent3" w:themeFillTint="33"/>
              <w:ind w:left="72" w:right="-58"/>
              <w:jc w:val="center"/>
            </w:pPr>
          </w:p>
          <w:p w:rsidR="00D52590" w:rsidRDefault="00D52590" w:rsidP="008F1EC2">
            <w:pPr>
              <w:shd w:val="clear" w:color="auto" w:fill="EAF1DD" w:themeFill="accent3" w:themeFillTint="33"/>
              <w:ind w:left="72" w:right="-58"/>
              <w:jc w:val="center"/>
            </w:pPr>
          </w:p>
          <w:p w:rsidR="00D52590" w:rsidRDefault="00D52590" w:rsidP="008F1EC2">
            <w:pPr>
              <w:shd w:val="clear" w:color="auto" w:fill="EAF1DD" w:themeFill="accent3" w:themeFillTint="33"/>
              <w:ind w:left="72" w:right="-58"/>
              <w:jc w:val="center"/>
            </w:pPr>
          </w:p>
          <w:p w:rsidR="00D52590" w:rsidRDefault="00D52590" w:rsidP="008F1EC2">
            <w:pPr>
              <w:shd w:val="clear" w:color="auto" w:fill="EAF1DD" w:themeFill="accent3" w:themeFillTint="33"/>
              <w:ind w:left="72" w:right="-58"/>
              <w:jc w:val="center"/>
            </w:pPr>
          </w:p>
          <w:p w:rsidR="00D52590" w:rsidRDefault="00D52590" w:rsidP="008F1EC2">
            <w:pPr>
              <w:shd w:val="clear" w:color="auto" w:fill="EAF1DD" w:themeFill="accent3" w:themeFillTint="33"/>
              <w:ind w:left="72" w:right="-58"/>
              <w:jc w:val="center"/>
            </w:pPr>
          </w:p>
          <w:p w:rsidR="00D52590" w:rsidRDefault="00D52590" w:rsidP="008F1EC2">
            <w:pPr>
              <w:shd w:val="clear" w:color="auto" w:fill="EAF1DD" w:themeFill="accent3" w:themeFillTint="33"/>
              <w:ind w:left="72" w:right="-58"/>
              <w:jc w:val="center"/>
            </w:pPr>
          </w:p>
          <w:p w:rsidR="00D52590" w:rsidRDefault="00D52590" w:rsidP="008F1EC2">
            <w:pPr>
              <w:shd w:val="clear" w:color="auto" w:fill="EAF1DD" w:themeFill="accent3" w:themeFillTint="33"/>
              <w:ind w:left="72" w:right="-58"/>
              <w:jc w:val="center"/>
            </w:pPr>
          </w:p>
          <w:p w:rsidR="00D52590" w:rsidRDefault="00D52590" w:rsidP="008F1EC2">
            <w:pPr>
              <w:shd w:val="clear" w:color="auto" w:fill="EAF1DD" w:themeFill="accent3" w:themeFillTint="33"/>
              <w:ind w:left="72" w:right="-58"/>
              <w:jc w:val="center"/>
            </w:pPr>
          </w:p>
          <w:p w:rsidR="00D52590" w:rsidRPr="008F1EC2" w:rsidRDefault="00D52590" w:rsidP="008F1EC2">
            <w:pPr>
              <w:shd w:val="clear" w:color="auto" w:fill="EAF1DD" w:themeFill="accent3" w:themeFillTint="33"/>
              <w:ind w:left="72" w:right="-58"/>
              <w:jc w:val="center"/>
              <w:rPr>
                <w:b/>
              </w:rPr>
            </w:pPr>
            <w:r w:rsidRPr="008F1EC2">
              <w:rPr>
                <w:b/>
              </w:rPr>
              <w:t>Eksperti:</w:t>
            </w:r>
          </w:p>
          <w:p w:rsidR="00D52590" w:rsidRPr="008F1EC2" w:rsidRDefault="00D52590" w:rsidP="008F1EC2">
            <w:pPr>
              <w:shd w:val="clear" w:color="auto" w:fill="EAF1DD" w:themeFill="accent3" w:themeFillTint="33"/>
              <w:ind w:left="72" w:right="-58"/>
              <w:jc w:val="center"/>
              <w:rPr>
                <w:b/>
              </w:rPr>
            </w:pPr>
          </w:p>
          <w:p w:rsidR="00D52590" w:rsidRDefault="008F1EC2" w:rsidP="008F1EC2">
            <w:pPr>
              <w:shd w:val="clear" w:color="auto" w:fill="EAF1DD" w:themeFill="accent3" w:themeFillTint="33"/>
              <w:ind w:left="72" w:right="-58"/>
              <w:jc w:val="center"/>
            </w:pPr>
            <w:r w:rsidRPr="008F1EC2">
              <w:rPr>
                <w:b/>
              </w:rPr>
              <w:t>Žūrijas s</w:t>
            </w:r>
            <w:r w:rsidR="00D52590" w:rsidRPr="008F1EC2">
              <w:rPr>
                <w:b/>
              </w:rPr>
              <w:t>ekretāre:</w:t>
            </w:r>
          </w:p>
        </w:tc>
        <w:tc>
          <w:tcPr>
            <w:tcW w:w="4680" w:type="dxa"/>
            <w:hideMark/>
          </w:tcPr>
          <w:p w:rsidR="00D52590" w:rsidRDefault="008F1EC2" w:rsidP="008F1EC2">
            <w:pPr>
              <w:shd w:val="clear" w:color="auto" w:fill="EAF1DD" w:themeFill="accent3" w:themeFillTint="33"/>
              <w:ind w:right="-58"/>
            </w:pPr>
            <w:r>
              <w:t xml:space="preserve">                          </w:t>
            </w:r>
            <w:r w:rsidR="00D52590">
              <w:t>Artis Brūvers</w:t>
            </w:r>
          </w:p>
          <w:p w:rsidR="00D52590" w:rsidRDefault="00D52590" w:rsidP="008F1EC2">
            <w:pPr>
              <w:shd w:val="clear" w:color="auto" w:fill="EAF1DD" w:themeFill="accent3" w:themeFillTint="33"/>
              <w:ind w:right="-58"/>
              <w:jc w:val="center"/>
            </w:pPr>
            <w:r>
              <w:t>Uģis Bratuškins</w:t>
            </w:r>
          </w:p>
          <w:p w:rsidR="00D52590" w:rsidRDefault="00D52590" w:rsidP="008F1EC2">
            <w:pPr>
              <w:shd w:val="clear" w:color="auto" w:fill="EAF1DD" w:themeFill="accent3" w:themeFillTint="33"/>
              <w:ind w:right="-58"/>
              <w:jc w:val="center"/>
            </w:pPr>
            <w:r>
              <w:t>Mārtiņš Hofmanis</w:t>
            </w:r>
          </w:p>
          <w:p w:rsidR="00D52590" w:rsidRDefault="00D52590" w:rsidP="008F1EC2">
            <w:pPr>
              <w:shd w:val="clear" w:color="auto" w:fill="EAF1DD" w:themeFill="accent3" w:themeFillTint="33"/>
              <w:ind w:right="-58"/>
              <w:jc w:val="center"/>
            </w:pPr>
            <w:r>
              <w:t>Dace Medniece</w:t>
            </w:r>
          </w:p>
          <w:p w:rsidR="00D52590" w:rsidRDefault="00D52590" w:rsidP="008F1EC2">
            <w:pPr>
              <w:shd w:val="clear" w:color="auto" w:fill="EAF1DD" w:themeFill="accent3" w:themeFillTint="33"/>
              <w:ind w:right="-58"/>
              <w:jc w:val="center"/>
            </w:pPr>
            <w:r>
              <w:t>Silvis Grīnbergs</w:t>
            </w:r>
          </w:p>
          <w:p w:rsidR="00D52590" w:rsidRDefault="00D52590" w:rsidP="008F1EC2">
            <w:pPr>
              <w:shd w:val="clear" w:color="auto" w:fill="EAF1DD" w:themeFill="accent3" w:themeFillTint="33"/>
              <w:ind w:right="-58"/>
              <w:jc w:val="center"/>
            </w:pPr>
            <w:r>
              <w:t>Iveta Grīviņa</w:t>
            </w:r>
          </w:p>
          <w:p w:rsidR="00D52590" w:rsidRDefault="00D52590" w:rsidP="008F1EC2">
            <w:pPr>
              <w:shd w:val="clear" w:color="auto" w:fill="EAF1DD" w:themeFill="accent3" w:themeFillTint="33"/>
              <w:ind w:right="-58"/>
              <w:jc w:val="center"/>
            </w:pPr>
            <w:r>
              <w:t>Everita Kāpa</w:t>
            </w:r>
          </w:p>
          <w:p w:rsidR="00D52590" w:rsidRDefault="00D52590" w:rsidP="008F1EC2">
            <w:pPr>
              <w:shd w:val="clear" w:color="auto" w:fill="EAF1DD" w:themeFill="accent3" w:themeFillTint="33"/>
              <w:ind w:right="-58"/>
              <w:jc w:val="center"/>
            </w:pPr>
            <w:r>
              <w:t>Rita Šteina</w:t>
            </w:r>
          </w:p>
          <w:p w:rsidR="00D52590" w:rsidRDefault="00D52590" w:rsidP="008F1EC2">
            <w:pPr>
              <w:shd w:val="clear" w:color="auto" w:fill="EAF1DD" w:themeFill="accent3" w:themeFillTint="33"/>
              <w:ind w:right="-58"/>
              <w:jc w:val="center"/>
            </w:pPr>
            <w:r>
              <w:t>Valērijs Bulāns</w:t>
            </w:r>
          </w:p>
          <w:p w:rsidR="00D52590" w:rsidRDefault="00D52590" w:rsidP="008F1EC2">
            <w:pPr>
              <w:shd w:val="clear" w:color="auto" w:fill="EAF1DD" w:themeFill="accent3" w:themeFillTint="33"/>
              <w:ind w:right="-58"/>
              <w:jc w:val="center"/>
            </w:pPr>
            <w:r>
              <w:t>Halfors Krasts</w:t>
            </w:r>
          </w:p>
          <w:p w:rsidR="00D52590" w:rsidRDefault="00D52590" w:rsidP="008F1EC2">
            <w:pPr>
              <w:shd w:val="clear" w:color="auto" w:fill="EAF1DD" w:themeFill="accent3" w:themeFillTint="33"/>
              <w:ind w:right="-58"/>
              <w:jc w:val="center"/>
            </w:pPr>
            <w:r>
              <w:t>Normunds Masaļskis</w:t>
            </w:r>
          </w:p>
          <w:p w:rsidR="00D52590" w:rsidRDefault="00D52590" w:rsidP="008F1EC2">
            <w:pPr>
              <w:shd w:val="clear" w:color="auto" w:fill="EAF1DD" w:themeFill="accent3" w:themeFillTint="33"/>
              <w:ind w:right="-58"/>
              <w:jc w:val="center"/>
            </w:pPr>
            <w:r>
              <w:t>Karīna Miķelsone</w:t>
            </w:r>
          </w:p>
          <w:p w:rsidR="008F1EC2" w:rsidRDefault="00D52590" w:rsidP="008F1EC2">
            <w:pPr>
              <w:shd w:val="clear" w:color="auto" w:fill="EAF1DD" w:themeFill="accent3" w:themeFillTint="33"/>
              <w:ind w:right="-58"/>
              <w:jc w:val="center"/>
            </w:pPr>
            <w:r>
              <w:t>Alīna Liepiņa</w:t>
            </w:r>
          </w:p>
        </w:tc>
      </w:tr>
    </w:tbl>
    <w:p w:rsidR="008F1EC2" w:rsidRDefault="008F1EC2" w:rsidP="00D52590">
      <w:pPr>
        <w:rPr>
          <w:b/>
        </w:rPr>
      </w:pPr>
    </w:p>
    <w:p w:rsidR="00D52590" w:rsidRPr="00D36A6A" w:rsidRDefault="00D52590" w:rsidP="001A4165">
      <w:pPr>
        <w:pStyle w:val="ListParagraph"/>
        <w:numPr>
          <w:ilvl w:val="0"/>
          <w:numId w:val="3"/>
        </w:numPr>
        <w:shd w:val="clear" w:color="auto" w:fill="C2D69B" w:themeFill="accent3" w:themeFillTint="99"/>
        <w:jc w:val="center"/>
        <w:rPr>
          <w:b/>
        </w:rPr>
      </w:pPr>
      <w:r w:rsidRPr="00D36A6A">
        <w:rPr>
          <w:b/>
        </w:rPr>
        <w:t>Komisijas izveides pamats:</w:t>
      </w:r>
    </w:p>
    <w:p w:rsidR="00D52590" w:rsidRDefault="00D52590" w:rsidP="009919B1">
      <w:pPr>
        <w:jc w:val="both"/>
      </w:pPr>
      <w:r w:rsidRPr="0078627B">
        <w:t>Ādažu novada domes 2016.gada 8.marta</w:t>
      </w:r>
      <w:r>
        <w:t xml:space="preserve"> lēmums</w:t>
      </w:r>
      <w:r w:rsidRPr="0078627B">
        <w:t xml:space="preserve"> Nr.35 „Par grozījumiem Ādažu novada domes 2015.gada 22.decembra lēmumā Nr.259 „Par pašvaldības iepirkumu komisijas sastāvu iepirkumiem par jaunas skolas ēkas meta izstrādi, tehniskā projekta izstrādi un autoruzraudzības nodrošināšanu”</w:t>
      </w:r>
      <w:r>
        <w:t>”.</w:t>
      </w:r>
    </w:p>
    <w:p w:rsidR="008F1EC2" w:rsidRDefault="008F1EC2" w:rsidP="00D52590">
      <w:pPr>
        <w:jc w:val="both"/>
        <w:rPr>
          <w:b/>
          <w:bCs/>
        </w:rPr>
      </w:pPr>
    </w:p>
    <w:p w:rsidR="008F1EC2" w:rsidRDefault="00D36A6A" w:rsidP="001A4165">
      <w:pPr>
        <w:pStyle w:val="ListParagraph"/>
        <w:numPr>
          <w:ilvl w:val="0"/>
          <w:numId w:val="3"/>
        </w:numPr>
        <w:shd w:val="clear" w:color="auto" w:fill="C2D69B" w:themeFill="accent3" w:themeFillTint="99"/>
        <w:jc w:val="center"/>
        <w:rPr>
          <w:b/>
          <w:bCs/>
        </w:rPr>
      </w:pPr>
      <w:r>
        <w:rPr>
          <w:b/>
          <w:bCs/>
        </w:rPr>
        <w:t>Informācija par dalībniekiem</w:t>
      </w:r>
      <w:r w:rsidRPr="00D36A6A">
        <w:rPr>
          <w:b/>
          <w:bCs/>
        </w:rPr>
        <w:t>:</w:t>
      </w:r>
    </w:p>
    <w:p w:rsidR="00D36A6A" w:rsidRDefault="00D36A6A" w:rsidP="009919B1">
      <w:pPr>
        <w:pStyle w:val="ListParagraph"/>
        <w:numPr>
          <w:ilvl w:val="0"/>
          <w:numId w:val="4"/>
        </w:numPr>
        <w:ind w:left="0" w:firstLine="0"/>
        <w:rPr>
          <w:b/>
        </w:rPr>
      </w:pPr>
      <w:r w:rsidRPr="00A82DB2">
        <w:t>Konkursa dalībniek</w:t>
      </w:r>
      <w:r>
        <w:t>s</w:t>
      </w:r>
      <w:r w:rsidRPr="00A82DB2">
        <w:t xml:space="preserve"> ar devīzi – </w:t>
      </w:r>
      <w:r w:rsidRPr="00FD00B3">
        <w:rPr>
          <w:b/>
        </w:rPr>
        <w:t>LIIN0000</w:t>
      </w:r>
      <w:r>
        <w:rPr>
          <w:b/>
        </w:rPr>
        <w:t>;</w:t>
      </w:r>
      <w:r w:rsidR="009919B1">
        <w:rPr>
          <w:b/>
        </w:rPr>
        <w:t xml:space="preserve"> </w:t>
      </w:r>
    </w:p>
    <w:p w:rsidR="00D36A6A" w:rsidRPr="009919B1" w:rsidRDefault="00D36A6A" w:rsidP="009919B1">
      <w:pPr>
        <w:pStyle w:val="ListParagraph"/>
        <w:numPr>
          <w:ilvl w:val="0"/>
          <w:numId w:val="4"/>
        </w:numPr>
        <w:ind w:left="0" w:firstLine="0"/>
        <w:rPr>
          <w:b/>
          <w:bCs/>
        </w:rPr>
      </w:pPr>
      <w:r w:rsidRPr="00A82DB2">
        <w:t>Konkursa dalībniek</w:t>
      </w:r>
      <w:r>
        <w:t>s</w:t>
      </w:r>
      <w:r w:rsidRPr="00A82DB2">
        <w:t xml:space="preserve"> ar devīzi – </w:t>
      </w:r>
      <w:r w:rsidRPr="00FD00B3">
        <w:rPr>
          <w:b/>
        </w:rPr>
        <w:t>ACAB2017</w:t>
      </w:r>
      <w:r>
        <w:rPr>
          <w:b/>
        </w:rPr>
        <w:t>.</w:t>
      </w:r>
    </w:p>
    <w:p w:rsidR="00C13B77" w:rsidRDefault="00C13B77" w:rsidP="00C13B77">
      <w:pPr>
        <w:jc w:val="both"/>
      </w:pPr>
    </w:p>
    <w:p w:rsidR="00C13B77" w:rsidRDefault="00C13B77" w:rsidP="001A4165">
      <w:pPr>
        <w:pStyle w:val="ListParagraph"/>
        <w:numPr>
          <w:ilvl w:val="0"/>
          <w:numId w:val="3"/>
        </w:numPr>
        <w:shd w:val="clear" w:color="auto" w:fill="C2D69B" w:themeFill="accent3" w:themeFillTint="99"/>
        <w:jc w:val="center"/>
        <w:rPr>
          <w:b/>
        </w:rPr>
      </w:pPr>
      <w:r>
        <w:rPr>
          <w:b/>
        </w:rPr>
        <w:t>Žūrijas komisijas vērtējums par katru metu</w:t>
      </w:r>
      <w:r w:rsidRPr="00C13B77">
        <w:rPr>
          <w:b/>
        </w:rPr>
        <w:t>:</w:t>
      </w:r>
    </w:p>
    <w:p w:rsidR="001A4165" w:rsidRPr="00C13B77" w:rsidRDefault="001A4165" w:rsidP="001A4165">
      <w:pPr>
        <w:pStyle w:val="ListParagraph"/>
        <w:rPr>
          <w:b/>
        </w:rPr>
      </w:pPr>
    </w:p>
    <w:tbl>
      <w:tblPr>
        <w:tblW w:w="7578"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2F2F2"/>
        <w:tblLook w:val="04A0" w:firstRow="1" w:lastRow="0" w:firstColumn="1" w:lastColumn="0" w:noHBand="0" w:noVBand="1"/>
      </w:tblPr>
      <w:tblGrid>
        <w:gridCol w:w="943"/>
        <w:gridCol w:w="2507"/>
        <w:gridCol w:w="2064"/>
        <w:gridCol w:w="2064"/>
      </w:tblGrid>
      <w:tr w:rsidR="00BD72D6" w:rsidRPr="0032466F" w:rsidTr="00572120">
        <w:trPr>
          <w:trHeight w:val="134"/>
          <w:jc w:val="center"/>
        </w:trPr>
        <w:tc>
          <w:tcPr>
            <w:tcW w:w="848" w:type="dxa"/>
            <w:tcBorders>
              <w:bottom w:val="single" w:sz="12" w:space="0" w:color="auto"/>
            </w:tcBorders>
            <w:shd w:val="clear" w:color="auto" w:fill="C2D69B" w:themeFill="accent3" w:themeFillTint="99"/>
            <w:vAlign w:val="center"/>
          </w:tcPr>
          <w:p w:rsidR="00BD72D6" w:rsidRPr="0032466F" w:rsidRDefault="00BD72D6" w:rsidP="009959C8">
            <w:pPr>
              <w:pStyle w:val="ListParagraph"/>
              <w:spacing w:before="60" w:after="60"/>
              <w:ind w:left="0"/>
              <w:jc w:val="center"/>
              <w:rPr>
                <w:rFonts w:ascii="Times New Roman Bold" w:eastAsia="Times New Roman Bold" w:hAnsi="Times New Roman Bold" w:cs="Times New Roman Bold"/>
              </w:rPr>
            </w:pPr>
            <w:proofErr w:type="spellStart"/>
            <w:r w:rsidRPr="0032466F">
              <w:rPr>
                <w:rFonts w:ascii="Times New Roman Bold" w:eastAsia="Times New Roman Bold" w:hAnsi="Times New Roman Bold" w:cs="Times New Roman Bold"/>
              </w:rPr>
              <w:t>Nr.p.k</w:t>
            </w:r>
            <w:proofErr w:type="spellEnd"/>
            <w:r w:rsidRPr="0032466F">
              <w:rPr>
                <w:rFonts w:ascii="Times New Roman Bold" w:eastAsia="Times New Roman Bold" w:hAnsi="Times New Roman Bold" w:cs="Times New Roman Bold"/>
              </w:rPr>
              <w:t>.</w:t>
            </w:r>
          </w:p>
        </w:tc>
        <w:tc>
          <w:tcPr>
            <w:tcW w:w="2638" w:type="dxa"/>
            <w:tcBorders>
              <w:bottom w:val="single" w:sz="12" w:space="0" w:color="auto"/>
            </w:tcBorders>
            <w:shd w:val="clear" w:color="auto" w:fill="C2D69B" w:themeFill="accent3" w:themeFillTint="99"/>
            <w:vAlign w:val="center"/>
          </w:tcPr>
          <w:p w:rsidR="00BD72D6" w:rsidRPr="007E1C90" w:rsidRDefault="00BD72D6" w:rsidP="009959C8">
            <w:pPr>
              <w:pStyle w:val="ListParagraph"/>
              <w:spacing w:before="60" w:after="60"/>
              <w:ind w:left="0"/>
              <w:jc w:val="center"/>
              <w:rPr>
                <w:rFonts w:eastAsia="Times New Roman Bold"/>
                <w:b/>
              </w:rPr>
            </w:pPr>
            <w:r w:rsidRPr="007E1C90">
              <w:rPr>
                <w:b/>
              </w:rPr>
              <w:t>Metu vērtēšanas kritēriji</w:t>
            </w:r>
          </w:p>
        </w:tc>
        <w:tc>
          <w:tcPr>
            <w:tcW w:w="2046" w:type="dxa"/>
            <w:tcBorders>
              <w:bottom w:val="single" w:sz="12" w:space="0" w:color="auto"/>
            </w:tcBorders>
            <w:shd w:val="clear" w:color="auto" w:fill="EAF1DD" w:themeFill="accent3" w:themeFillTint="33"/>
            <w:vAlign w:val="center"/>
          </w:tcPr>
          <w:p w:rsidR="00572120" w:rsidRDefault="00BD72D6" w:rsidP="009959C8">
            <w:pPr>
              <w:pStyle w:val="ListParagraph"/>
              <w:spacing w:before="60" w:after="60"/>
              <w:ind w:left="0"/>
              <w:jc w:val="center"/>
              <w:rPr>
                <w:b/>
              </w:rPr>
            </w:pPr>
            <w:r w:rsidRPr="007E1C90">
              <w:rPr>
                <w:b/>
              </w:rPr>
              <w:t>Žūrijas komisijas locekļ</w:t>
            </w:r>
            <w:r>
              <w:rPr>
                <w:b/>
              </w:rPr>
              <w:t>u</w:t>
            </w:r>
            <w:r w:rsidRPr="007E1C90">
              <w:rPr>
                <w:b/>
              </w:rPr>
              <w:t xml:space="preserve"> piešķirtais</w:t>
            </w:r>
          </w:p>
          <w:p w:rsidR="00BD72D6" w:rsidRDefault="00572120" w:rsidP="009959C8">
            <w:pPr>
              <w:pStyle w:val="ListParagraph"/>
              <w:spacing w:before="60" w:after="60"/>
              <w:ind w:left="0"/>
              <w:jc w:val="center"/>
              <w:rPr>
                <w:b/>
              </w:rPr>
            </w:pPr>
            <w:r>
              <w:rPr>
                <w:b/>
              </w:rPr>
              <w:t>vidējais*</w:t>
            </w:r>
            <w:r w:rsidR="00BD72D6" w:rsidRPr="007E1C90">
              <w:rPr>
                <w:b/>
              </w:rPr>
              <w:t xml:space="preserve"> vērtējums</w:t>
            </w:r>
          </w:p>
          <w:p w:rsidR="00BD72D6" w:rsidRDefault="00BD72D6" w:rsidP="009959C8">
            <w:pPr>
              <w:pStyle w:val="ListParagraph"/>
              <w:spacing w:before="60" w:after="60"/>
              <w:ind w:left="0"/>
              <w:rPr>
                <w:b/>
              </w:rPr>
            </w:pPr>
          </w:p>
          <w:tbl>
            <w:tblPr>
              <w:tblStyle w:val="TableGrid"/>
              <w:tblW w:w="1838" w:type="dxa"/>
              <w:tblLook w:val="04A0" w:firstRow="1" w:lastRow="0" w:firstColumn="1" w:lastColumn="0" w:noHBand="0" w:noVBand="1"/>
            </w:tblPr>
            <w:tblGrid>
              <w:gridCol w:w="1838"/>
            </w:tblGrid>
            <w:tr w:rsidR="00BD72D6" w:rsidTr="00BD72D6">
              <w:trPr>
                <w:trHeight w:val="24"/>
              </w:trPr>
              <w:tc>
                <w:tcPr>
                  <w:tcW w:w="1838" w:type="dxa"/>
                  <w:shd w:val="clear" w:color="auto" w:fill="C2D69B" w:themeFill="accent3" w:themeFillTint="99"/>
                </w:tcPr>
                <w:p w:rsidR="00BD72D6" w:rsidRDefault="00BD72D6" w:rsidP="009959C8">
                  <w:pPr>
                    <w:pStyle w:val="ListParagraph"/>
                    <w:spacing w:before="60" w:after="60"/>
                    <w:ind w:left="0"/>
                    <w:jc w:val="center"/>
                    <w:rPr>
                      <w:b/>
                    </w:rPr>
                  </w:pPr>
                  <w:r>
                    <w:rPr>
                      <w:b/>
                    </w:rPr>
                    <w:t>LIIN0000</w:t>
                  </w:r>
                </w:p>
              </w:tc>
            </w:tr>
          </w:tbl>
          <w:p w:rsidR="00BD72D6" w:rsidRPr="007E1C90" w:rsidRDefault="00BD72D6" w:rsidP="009959C8">
            <w:pPr>
              <w:pStyle w:val="ListParagraph"/>
              <w:spacing w:before="60" w:after="60"/>
              <w:ind w:left="0"/>
              <w:rPr>
                <w:b/>
              </w:rPr>
            </w:pPr>
          </w:p>
          <w:p w:rsidR="00BD72D6" w:rsidRPr="007E1C90" w:rsidRDefault="00BD72D6" w:rsidP="009959C8">
            <w:pPr>
              <w:pStyle w:val="ListParagraph"/>
              <w:spacing w:before="60" w:after="60"/>
              <w:ind w:left="0"/>
              <w:jc w:val="center"/>
              <w:rPr>
                <w:rFonts w:eastAsia="Times New Roman Bold"/>
                <w:b/>
              </w:rPr>
            </w:pPr>
            <w:r>
              <w:rPr>
                <w:b/>
              </w:rPr>
              <w:t>PUNKTI</w:t>
            </w:r>
          </w:p>
        </w:tc>
        <w:tc>
          <w:tcPr>
            <w:tcW w:w="2046" w:type="dxa"/>
            <w:tcBorders>
              <w:bottom w:val="single" w:sz="12" w:space="0" w:color="auto"/>
            </w:tcBorders>
            <w:shd w:val="clear" w:color="auto" w:fill="EAF1DD" w:themeFill="accent3" w:themeFillTint="33"/>
            <w:vAlign w:val="center"/>
          </w:tcPr>
          <w:p w:rsidR="00572120" w:rsidRDefault="00BD72D6" w:rsidP="009959C8">
            <w:pPr>
              <w:pStyle w:val="ListParagraph"/>
              <w:spacing w:before="60" w:after="60"/>
              <w:ind w:left="0"/>
              <w:jc w:val="center"/>
              <w:rPr>
                <w:b/>
              </w:rPr>
            </w:pPr>
            <w:r w:rsidRPr="007E1C90">
              <w:rPr>
                <w:b/>
              </w:rPr>
              <w:t>Žūrijas komisijas locekļ</w:t>
            </w:r>
            <w:r>
              <w:rPr>
                <w:b/>
              </w:rPr>
              <w:t>u</w:t>
            </w:r>
            <w:r w:rsidRPr="007E1C90">
              <w:rPr>
                <w:b/>
              </w:rPr>
              <w:t xml:space="preserve"> piešķirtais </w:t>
            </w:r>
          </w:p>
          <w:p w:rsidR="00BD72D6" w:rsidRPr="007E1C90" w:rsidRDefault="00572120" w:rsidP="009959C8">
            <w:pPr>
              <w:pStyle w:val="ListParagraph"/>
              <w:spacing w:before="60" w:after="60"/>
              <w:ind w:left="0"/>
              <w:jc w:val="center"/>
              <w:rPr>
                <w:b/>
              </w:rPr>
            </w:pPr>
            <w:r>
              <w:rPr>
                <w:b/>
              </w:rPr>
              <w:t xml:space="preserve">vidējais* </w:t>
            </w:r>
            <w:r w:rsidR="00BD72D6" w:rsidRPr="007E1C90">
              <w:rPr>
                <w:b/>
              </w:rPr>
              <w:t>vērtējums</w:t>
            </w:r>
          </w:p>
          <w:p w:rsidR="00BD72D6" w:rsidRDefault="00BD72D6" w:rsidP="009959C8">
            <w:pPr>
              <w:pStyle w:val="ListParagraph"/>
              <w:spacing w:before="60" w:after="60"/>
              <w:ind w:left="0"/>
              <w:rPr>
                <w:b/>
              </w:rPr>
            </w:pPr>
          </w:p>
          <w:tbl>
            <w:tblPr>
              <w:tblStyle w:val="TableGrid"/>
              <w:tblW w:w="1838" w:type="dxa"/>
              <w:tblLook w:val="04A0" w:firstRow="1" w:lastRow="0" w:firstColumn="1" w:lastColumn="0" w:noHBand="0" w:noVBand="1"/>
            </w:tblPr>
            <w:tblGrid>
              <w:gridCol w:w="1838"/>
            </w:tblGrid>
            <w:tr w:rsidR="00BD72D6" w:rsidTr="00BD72D6">
              <w:trPr>
                <w:trHeight w:val="24"/>
              </w:trPr>
              <w:tc>
                <w:tcPr>
                  <w:tcW w:w="1838" w:type="dxa"/>
                  <w:shd w:val="clear" w:color="auto" w:fill="C2D69B" w:themeFill="accent3" w:themeFillTint="99"/>
                </w:tcPr>
                <w:p w:rsidR="00BD72D6" w:rsidRDefault="00BD72D6" w:rsidP="009959C8">
                  <w:pPr>
                    <w:pStyle w:val="ListParagraph"/>
                    <w:spacing w:before="60" w:after="60"/>
                    <w:ind w:left="0"/>
                    <w:jc w:val="center"/>
                    <w:rPr>
                      <w:b/>
                    </w:rPr>
                  </w:pPr>
                  <w:r>
                    <w:rPr>
                      <w:b/>
                    </w:rPr>
                    <w:t>ACAB 2017</w:t>
                  </w:r>
                </w:p>
              </w:tc>
            </w:tr>
          </w:tbl>
          <w:p w:rsidR="00BD72D6" w:rsidRDefault="00BD72D6" w:rsidP="009959C8">
            <w:pPr>
              <w:pStyle w:val="ListParagraph"/>
              <w:spacing w:before="60" w:after="60"/>
              <w:ind w:left="0"/>
              <w:jc w:val="center"/>
              <w:rPr>
                <w:b/>
              </w:rPr>
            </w:pPr>
          </w:p>
          <w:p w:rsidR="00BD72D6" w:rsidRPr="007E1C90" w:rsidRDefault="00BD72D6" w:rsidP="009959C8">
            <w:pPr>
              <w:pStyle w:val="ListParagraph"/>
              <w:spacing w:before="60" w:after="60"/>
              <w:ind w:left="0"/>
              <w:jc w:val="center"/>
              <w:rPr>
                <w:rFonts w:eastAsia="Times New Roman Bold"/>
                <w:b/>
              </w:rPr>
            </w:pPr>
            <w:r w:rsidRPr="007E1C90">
              <w:rPr>
                <w:b/>
              </w:rPr>
              <w:t>P</w:t>
            </w:r>
            <w:r>
              <w:rPr>
                <w:b/>
              </w:rPr>
              <w:t>UNKTI</w:t>
            </w:r>
          </w:p>
        </w:tc>
      </w:tr>
      <w:tr w:rsidR="00BD72D6" w:rsidRPr="0032466F" w:rsidTr="00572120">
        <w:trPr>
          <w:trHeight w:val="109"/>
          <w:jc w:val="center"/>
        </w:trPr>
        <w:tc>
          <w:tcPr>
            <w:tcW w:w="848" w:type="dxa"/>
            <w:tcBorders>
              <w:top w:val="single" w:sz="12"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rPr>
                <w:rFonts w:eastAsia="Times New Roman Bold"/>
              </w:rPr>
              <w:t>1.</w:t>
            </w:r>
          </w:p>
        </w:tc>
        <w:tc>
          <w:tcPr>
            <w:tcW w:w="2638" w:type="dxa"/>
            <w:tcBorders>
              <w:top w:val="single" w:sz="12"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t xml:space="preserve">Arhitektoniskais risinājums: idejas oriģinalitāte, ēkas plānojuma funkcionalitāte, objekta atbilstība videi un </w:t>
            </w:r>
            <w:r w:rsidRPr="0032466F">
              <w:lastRenderedPageBreak/>
              <w:t>izmantošanas mērķim</w:t>
            </w:r>
          </w:p>
        </w:tc>
        <w:tc>
          <w:tcPr>
            <w:tcW w:w="2046" w:type="dxa"/>
            <w:tcBorders>
              <w:top w:val="single" w:sz="12"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17,6</w:t>
            </w:r>
          </w:p>
          <w:p w:rsidR="00BD72D6" w:rsidRDefault="00BD72D6" w:rsidP="009959C8">
            <w:pPr>
              <w:pStyle w:val="ListParagraph"/>
              <w:spacing w:before="60" w:after="60"/>
              <w:ind w:left="0"/>
              <w:jc w:val="center"/>
              <w:rPr>
                <w:rFonts w:eastAsia="Times New Roman Bold"/>
              </w:rPr>
            </w:pPr>
          </w:p>
          <w:p w:rsidR="00BD72D6" w:rsidRPr="0032466F" w:rsidRDefault="00BD72D6" w:rsidP="009959C8">
            <w:pPr>
              <w:pStyle w:val="ListParagraph"/>
              <w:spacing w:before="60" w:after="60"/>
              <w:ind w:left="0"/>
              <w:jc w:val="center"/>
              <w:rPr>
                <w:rFonts w:eastAsia="Times New Roman Bold"/>
              </w:rPr>
            </w:pPr>
          </w:p>
        </w:tc>
        <w:tc>
          <w:tcPr>
            <w:tcW w:w="2046" w:type="dxa"/>
            <w:tcBorders>
              <w:top w:val="single" w:sz="12"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6,5</w:t>
            </w:r>
          </w:p>
          <w:p w:rsidR="00BD72D6" w:rsidRDefault="00BD72D6" w:rsidP="009959C8">
            <w:pPr>
              <w:pStyle w:val="ListParagraph"/>
              <w:spacing w:before="60" w:after="60"/>
              <w:ind w:left="0"/>
              <w:jc w:val="center"/>
              <w:rPr>
                <w:rFonts w:eastAsia="Times New Roman Bold"/>
              </w:rPr>
            </w:pPr>
          </w:p>
          <w:p w:rsidR="00BD72D6" w:rsidRPr="0032466F" w:rsidRDefault="00BD72D6" w:rsidP="009959C8">
            <w:pPr>
              <w:pStyle w:val="ListParagraph"/>
              <w:spacing w:before="60" w:after="60"/>
              <w:ind w:left="0"/>
              <w:jc w:val="center"/>
              <w:rPr>
                <w:rFonts w:eastAsia="Times New Roman Bold"/>
              </w:rPr>
            </w:pPr>
          </w:p>
        </w:tc>
      </w:tr>
      <w:tr w:rsidR="00BD72D6" w:rsidRPr="0032466F" w:rsidTr="00572120">
        <w:trPr>
          <w:trHeight w:val="87"/>
          <w:jc w:val="center"/>
        </w:trPr>
        <w:tc>
          <w:tcPr>
            <w:tcW w:w="848" w:type="dxa"/>
            <w:tcBorders>
              <w:top w:val="single" w:sz="4"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rPr>
                <w:rFonts w:eastAsia="Times New Roman Bold"/>
              </w:rPr>
              <w:lastRenderedPageBreak/>
              <w:t>2.</w:t>
            </w:r>
          </w:p>
        </w:tc>
        <w:tc>
          <w:tcPr>
            <w:tcW w:w="2638" w:type="dxa"/>
            <w:tcBorders>
              <w:top w:val="single" w:sz="4"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t>Transporta kustības organizācija un stāvvietu nodrošināšana skolas teritorijā un piegulošā kvartālā</w:t>
            </w:r>
          </w:p>
        </w:tc>
        <w:tc>
          <w:tcPr>
            <w:tcW w:w="2046" w:type="dxa"/>
            <w:tcBorders>
              <w:top w:val="single" w:sz="4"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11,3</w:t>
            </w:r>
          </w:p>
          <w:p w:rsidR="00BD72D6" w:rsidRDefault="00BD72D6" w:rsidP="009959C8">
            <w:pPr>
              <w:pStyle w:val="ListParagraph"/>
              <w:spacing w:before="60" w:after="60"/>
              <w:ind w:left="0"/>
              <w:jc w:val="center"/>
              <w:rPr>
                <w:rFonts w:eastAsia="Times New Roman Bold"/>
              </w:rPr>
            </w:pPr>
          </w:p>
          <w:p w:rsidR="00BD72D6" w:rsidRPr="0032466F" w:rsidRDefault="00BD72D6" w:rsidP="009959C8">
            <w:pPr>
              <w:pStyle w:val="ListParagraph"/>
              <w:spacing w:before="60" w:after="60"/>
              <w:ind w:left="0"/>
              <w:jc w:val="center"/>
              <w:rPr>
                <w:rFonts w:eastAsia="Times New Roman Bold"/>
              </w:rPr>
            </w:pPr>
          </w:p>
        </w:tc>
        <w:tc>
          <w:tcPr>
            <w:tcW w:w="2046" w:type="dxa"/>
            <w:tcBorders>
              <w:top w:val="single" w:sz="4"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4,6</w:t>
            </w:r>
          </w:p>
          <w:p w:rsidR="00BD72D6" w:rsidRDefault="00BD72D6" w:rsidP="009959C8">
            <w:pPr>
              <w:pStyle w:val="ListParagraph"/>
              <w:spacing w:before="60" w:after="60"/>
              <w:ind w:left="0"/>
              <w:jc w:val="center"/>
              <w:rPr>
                <w:rFonts w:eastAsia="Times New Roman Bold"/>
              </w:rPr>
            </w:pPr>
          </w:p>
          <w:p w:rsidR="00BD72D6" w:rsidRPr="0032466F" w:rsidRDefault="00BD72D6" w:rsidP="009959C8">
            <w:pPr>
              <w:pStyle w:val="ListParagraph"/>
              <w:spacing w:before="60" w:after="60"/>
              <w:ind w:left="0"/>
              <w:jc w:val="center"/>
              <w:rPr>
                <w:rFonts w:eastAsia="Times New Roman Bold"/>
              </w:rPr>
            </w:pPr>
          </w:p>
        </w:tc>
      </w:tr>
      <w:tr w:rsidR="00BD72D6" w:rsidRPr="0032466F" w:rsidTr="00572120">
        <w:trPr>
          <w:trHeight w:val="88"/>
          <w:jc w:val="center"/>
        </w:trPr>
        <w:tc>
          <w:tcPr>
            <w:tcW w:w="848" w:type="dxa"/>
            <w:tcBorders>
              <w:top w:val="single" w:sz="4"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rPr>
                <w:rFonts w:eastAsia="Times New Roman Bold"/>
              </w:rPr>
              <w:t>3.</w:t>
            </w:r>
          </w:p>
        </w:tc>
        <w:tc>
          <w:tcPr>
            <w:tcW w:w="2638" w:type="dxa"/>
            <w:tcBorders>
              <w:top w:val="single" w:sz="4"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pPr>
            <w:r w:rsidRPr="0032466F">
              <w:t>Skolas ēkas būvniecības provizoriskās izmaksas, ieskaitot komunikāciju izbūvi un pārbūvi</w:t>
            </w:r>
          </w:p>
        </w:tc>
        <w:tc>
          <w:tcPr>
            <w:tcW w:w="2046" w:type="dxa"/>
            <w:tcBorders>
              <w:top w:val="single" w:sz="4"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13,94</w:t>
            </w:r>
          </w:p>
          <w:p w:rsidR="00BD72D6" w:rsidRDefault="00BD72D6" w:rsidP="009959C8">
            <w:pPr>
              <w:pStyle w:val="ListParagraph"/>
              <w:spacing w:before="60" w:after="60"/>
              <w:ind w:left="0"/>
              <w:jc w:val="center"/>
              <w:rPr>
                <w:rFonts w:eastAsia="Times New Roman Bold"/>
              </w:rPr>
            </w:pPr>
          </w:p>
          <w:p w:rsidR="00BD72D6" w:rsidRPr="0032466F" w:rsidRDefault="00BD72D6" w:rsidP="009959C8">
            <w:pPr>
              <w:pStyle w:val="ListParagraph"/>
              <w:spacing w:before="60" w:after="60"/>
              <w:ind w:left="0"/>
              <w:jc w:val="center"/>
              <w:rPr>
                <w:rFonts w:eastAsia="Times New Roman Bold"/>
              </w:rPr>
            </w:pPr>
          </w:p>
        </w:tc>
        <w:tc>
          <w:tcPr>
            <w:tcW w:w="2046" w:type="dxa"/>
            <w:tcBorders>
              <w:top w:val="single" w:sz="4"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15</w:t>
            </w:r>
          </w:p>
          <w:p w:rsidR="00BD72D6" w:rsidRDefault="00BD72D6" w:rsidP="009959C8">
            <w:pPr>
              <w:pStyle w:val="ListParagraph"/>
              <w:spacing w:before="60" w:after="60"/>
              <w:ind w:left="0"/>
              <w:jc w:val="center"/>
              <w:rPr>
                <w:rFonts w:eastAsia="Times New Roman Bold"/>
              </w:rPr>
            </w:pPr>
          </w:p>
          <w:p w:rsidR="00BD72D6" w:rsidRPr="0032466F" w:rsidRDefault="00BD72D6" w:rsidP="009959C8">
            <w:pPr>
              <w:pStyle w:val="ListParagraph"/>
              <w:spacing w:before="60" w:after="60"/>
              <w:ind w:left="0"/>
              <w:jc w:val="center"/>
              <w:rPr>
                <w:rFonts w:eastAsia="Times New Roman Bold"/>
              </w:rPr>
            </w:pPr>
          </w:p>
        </w:tc>
      </w:tr>
      <w:tr w:rsidR="00BD72D6" w:rsidRPr="0032466F" w:rsidTr="00572120">
        <w:trPr>
          <w:trHeight w:val="88"/>
          <w:jc w:val="center"/>
        </w:trPr>
        <w:tc>
          <w:tcPr>
            <w:tcW w:w="848" w:type="dxa"/>
            <w:tcBorders>
              <w:top w:val="single" w:sz="4"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rPr>
                <w:rFonts w:eastAsia="Times New Roman Bold"/>
              </w:rPr>
              <w:t>4.</w:t>
            </w:r>
          </w:p>
        </w:tc>
        <w:tc>
          <w:tcPr>
            <w:tcW w:w="2638" w:type="dxa"/>
            <w:tcBorders>
              <w:top w:val="single" w:sz="4"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t>Piedāvātā būvprojekta izstrādes un autoruzraudzības līgumcena</w:t>
            </w:r>
          </w:p>
        </w:tc>
        <w:tc>
          <w:tcPr>
            <w:tcW w:w="2046" w:type="dxa"/>
            <w:tcBorders>
              <w:top w:val="single" w:sz="4"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15</w:t>
            </w:r>
          </w:p>
          <w:p w:rsidR="00BD72D6" w:rsidRDefault="00BD72D6" w:rsidP="009959C8">
            <w:pPr>
              <w:pStyle w:val="ListParagraph"/>
              <w:spacing w:before="60" w:after="60"/>
              <w:ind w:left="0"/>
              <w:jc w:val="center"/>
              <w:rPr>
                <w:rFonts w:eastAsia="Times New Roman Bold"/>
              </w:rPr>
            </w:pPr>
          </w:p>
          <w:p w:rsidR="00BD72D6" w:rsidRPr="0032466F" w:rsidRDefault="00BD72D6" w:rsidP="009959C8">
            <w:pPr>
              <w:pStyle w:val="ListParagraph"/>
              <w:spacing w:before="60" w:after="60"/>
              <w:ind w:left="0"/>
              <w:jc w:val="center"/>
              <w:rPr>
                <w:rFonts w:eastAsia="Times New Roman Bold"/>
              </w:rPr>
            </w:pPr>
          </w:p>
        </w:tc>
        <w:tc>
          <w:tcPr>
            <w:tcW w:w="2046" w:type="dxa"/>
            <w:tcBorders>
              <w:top w:val="single" w:sz="4"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12,43</w:t>
            </w:r>
          </w:p>
          <w:p w:rsidR="00BD72D6" w:rsidRDefault="00BD72D6" w:rsidP="009959C8">
            <w:pPr>
              <w:pStyle w:val="ListParagraph"/>
              <w:spacing w:before="60" w:after="60"/>
              <w:ind w:left="0"/>
              <w:jc w:val="center"/>
              <w:rPr>
                <w:rFonts w:eastAsia="Times New Roman Bold"/>
              </w:rPr>
            </w:pPr>
          </w:p>
          <w:p w:rsidR="00BD72D6" w:rsidRPr="0032466F" w:rsidRDefault="00BD72D6" w:rsidP="009959C8">
            <w:pPr>
              <w:pStyle w:val="ListParagraph"/>
              <w:spacing w:before="60" w:after="60"/>
              <w:ind w:left="0"/>
              <w:jc w:val="center"/>
              <w:rPr>
                <w:rFonts w:eastAsia="Times New Roman Bold"/>
              </w:rPr>
            </w:pPr>
          </w:p>
        </w:tc>
      </w:tr>
      <w:tr w:rsidR="00BD72D6" w:rsidRPr="0032466F" w:rsidTr="00572120">
        <w:trPr>
          <w:trHeight w:val="88"/>
          <w:jc w:val="center"/>
        </w:trPr>
        <w:tc>
          <w:tcPr>
            <w:tcW w:w="848" w:type="dxa"/>
            <w:tcBorders>
              <w:top w:val="single" w:sz="4"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rPr>
                <w:rFonts w:eastAsia="Times New Roman Bold"/>
              </w:rPr>
              <w:t>5.</w:t>
            </w:r>
          </w:p>
        </w:tc>
        <w:tc>
          <w:tcPr>
            <w:tcW w:w="2638" w:type="dxa"/>
            <w:tcBorders>
              <w:top w:val="single" w:sz="4"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t>Skolas teritorijas zonējums un labiekārtojums</w:t>
            </w:r>
          </w:p>
        </w:tc>
        <w:tc>
          <w:tcPr>
            <w:tcW w:w="2046" w:type="dxa"/>
            <w:tcBorders>
              <w:top w:val="single" w:sz="4"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9,2</w:t>
            </w:r>
          </w:p>
          <w:p w:rsidR="00BD72D6" w:rsidRPr="0032466F" w:rsidRDefault="00BD72D6" w:rsidP="009959C8">
            <w:pPr>
              <w:pStyle w:val="ListParagraph"/>
              <w:spacing w:before="60" w:after="60"/>
              <w:ind w:left="0"/>
              <w:jc w:val="center"/>
              <w:rPr>
                <w:rFonts w:eastAsia="Times New Roman Bold"/>
              </w:rPr>
            </w:pPr>
          </w:p>
        </w:tc>
        <w:tc>
          <w:tcPr>
            <w:tcW w:w="2046" w:type="dxa"/>
            <w:tcBorders>
              <w:top w:val="single" w:sz="4"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3,6</w:t>
            </w:r>
          </w:p>
          <w:p w:rsidR="00BD72D6" w:rsidRDefault="00BD72D6" w:rsidP="009959C8">
            <w:pPr>
              <w:pStyle w:val="ListParagraph"/>
              <w:spacing w:before="60" w:after="60"/>
              <w:ind w:left="0"/>
              <w:jc w:val="center"/>
              <w:rPr>
                <w:rFonts w:eastAsia="Times New Roman Bold"/>
              </w:rPr>
            </w:pPr>
          </w:p>
          <w:p w:rsidR="00BD72D6" w:rsidRPr="0032466F" w:rsidRDefault="00BD72D6" w:rsidP="009959C8">
            <w:pPr>
              <w:pStyle w:val="ListParagraph"/>
              <w:spacing w:before="60" w:after="60"/>
              <w:ind w:left="0"/>
              <w:jc w:val="center"/>
              <w:rPr>
                <w:rFonts w:eastAsia="Times New Roman Bold"/>
              </w:rPr>
            </w:pPr>
          </w:p>
        </w:tc>
      </w:tr>
      <w:tr w:rsidR="00BD72D6" w:rsidRPr="0032466F" w:rsidTr="00572120">
        <w:trPr>
          <w:trHeight w:val="65"/>
          <w:jc w:val="center"/>
        </w:trPr>
        <w:tc>
          <w:tcPr>
            <w:tcW w:w="848" w:type="dxa"/>
            <w:tcBorders>
              <w:top w:val="single" w:sz="4"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rPr>
                <w:rFonts w:eastAsia="Times New Roman Bold"/>
              </w:rPr>
              <w:t>6.</w:t>
            </w:r>
          </w:p>
        </w:tc>
        <w:tc>
          <w:tcPr>
            <w:tcW w:w="2638" w:type="dxa"/>
            <w:tcBorders>
              <w:top w:val="single" w:sz="4" w:space="0" w:color="auto"/>
              <w:bottom w:val="single" w:sz="4"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t>Skolas ēkas kopējais telpu apjoms</w:t>
            </w:r>
          </w:p>
        </w:tc>
        <w:tc>
          <w:tcPr>
            <w:tcW w:w="2046" w:type="dxa"/>
            <w:tcBorders>
              <w:top w:val="single" w:sz="4"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10</w:t>
            </w:r>
          </w:p>
          <w:p w:rsidR="00BD72D6" w:rsidRPr="0032466F" w:rsidRDefault="00BD72D6" w:rsidP="009959C8">
            <w:pPr>
              <w:pStyle w:val="ListParagraph"/>
              <w:spacing w:before="60" w:after="60"/>
              <w:ind w:left="0"/>
              <w:jc w:val="center"/>
              <w:rPr>
                <w:rFonts w:eastAsia="Times New Roman Bold"/>
              </w:rPr>
            </w:pPr>
          </w:p>
        </w:tc>
        <w:tc>
          <w:tcPr>
            <w:tcW w:w="2046" w:type="dxa"/>
            <w:tcBorders>
              <w:top w:val="single" w:sz="4" w:space="0" w:color="auto"/>
              <w:bottom w:val="single" w:sz="4"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6,04</w:t>
            </w:r>
          </w:p>
          <w:p w:rsidR="00BD72D6" w:rsidRPr="0032466F" w:rsidRDefault="00BD72D6" w:rsidP="009959C8">
            <w:pPr>
              <w:pStyle w:val="ListParagraph"/>
              <w:spacing w:before="60" w:after="60"/>
              <w:ind w:left="0"/>
              <w:jc w:val="center"/>
              <w:rPr>
                <w:rFonts w:eastAsia="Times New Roman Bold"/>
              </w:rPr>
            </w:pPr>
          </w:p>
        </w:tc>
      </w:tr>
      <w:tr w:rsidR="00BD72D6" w:rsidRPr="0032466F" w:rsidTr="00572120">
        <w:trPr>
          <w:trHeight w:val="67"/>
          <w:jc w:val="center"/>
        </w:trPr>
        <w:tc>
          <w:tcPr>
            <w:tcW w:w="848" w:type="dxa"/>
            <w:tcBorders>
              <w:top w:val="single" w:sz="4" w:space="0" w:color="auto"/>
              <w:bottom w:val="single" w:sz="12"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rPr>
                <w:rFonts w:eastAsia="Times New Roman Bold"/>
              </w:rPr>
              <w:t>8.</w:t>
            </w:r>
          </w:p>
        </w:tc>
        <w:tc>
          <w:tcPr>
            <w:tcW w:w="2638" w:type="dxa"/>
            <w:tcBorders>
              <w:top w:val="single" w:sz="4" w:space="0" w:color="auto"/>
              <w:bottom w:val="single" w:sz="12"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rPr>
            </w:pPr>
            <w:r w:rsidRPr="0032466F">
              <w:t>Skolas ēkas būvprojekta izstrādes termiņš</w:t>
            </w:r>
          </w:p>
        </w:tc>
        <w:tc>
          <w:tcPr>
            <w:tcW w:w="2046" w:type="dxa"/>
            <w:tcBorders>
              <w:top w:val="single" w:sz="4" w:space="0" w:color="auto"/>
              <w:bottom w:val="single" w:sz="12"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10</w:t>
            </w:r>
          </w:p>
          <w:p w:rsidR="00BD72D6" w:rsidRPr="0032466F" w:rsidRDefault="00BD72D6" w:rsidP="009959C8">
            <w:pPr>
              <w:pStyle w:val="ListParagraph"/>
              <w:spacing w:before="60" w:after="60"/>
              <w:ind w:left="0"/>
              <w:jc w:val="center"/>
              <w:rPr>
                <w:rFonts w:eastAsia="Times New Roman Bold"/>
              </w:rPr>
            </w:pPr>
          </w:p>
        </w:tc>
        <w:tc>
          <w:tcPr>
            <w:tcW w:w="2046" w:type="dxa"/>
            <w:tcBorders>
              <w:top w:val="single" w:sz="4" w:space="0" w:color="auto"/>
              <w:bottom w:val="single" w:sz="12" w:space="0" w:color="auto"/>
            </w:tcBorders>
            <w:shd w:val="clear" w:color="auto" w:fill="C2D69B" w:themeFill="accent3" w:themeFillTint="99"/>
          </w:tcPr>
          <w:p w:rsidR="00BD72D6" w:rsidRDefault="00BD72D6" w:rsidP="009959C8">
            <w:pPr>
              <w:pStyle w:val="ListParagraph"/>
              <w:spacing w:before="60" w:after="60"/>
              <w:ind w:left="0"/>
              <w:jc w:val="center"/>
              <w:rPr>
                <w:rFonts w:eastAsia="Times New Roman Bold"/>
              </w:rPr>
            </w:pPr>
          </w:p>
          <w:p w:rsidR="00BD72D6" w:rsidRDefault="00BD72D6" w:rsidP="009959C8">
            <w:pPr>
              <w:pStyle w:val="ListParagraph"/>
              <w:spacing w:before="60" w:after="60"/>
              <w:ind w:left="0"/>
              <w:jc w:val="center"/>
              <w:rPr>
                <w:rFonts w:eastAsia="Times New Roman Bold"/>
              </w:rPr>
            </w:pPr>
            <w:r>
              <w:rPr>
                <w:rFonts w:eastAsia="Times New Roman Bold"/>
              </w:rPr>
              <w:t>7,99</w:t>
            </w:r>
          </w:p>
          <w:p w:rsidR="00BD72D6" w:rsidRPr="0032466F" w:rsidRDefault="00BD72D6" w:rsidP="009959C8">
            <w:pPr>
              <w:pStyle w:val="ListParagraph"/>
              <w:spacing w:before="60" w:after="60"/>
              <w:ind w:left="0"/>
              <w:jc w:val="center"/>
              <w:rPr>
                <w:rFonts w:eastAsia="Times New Roman Bold"/>
              </w:rPr>
            </w:pPr>
          </w:p>
        </w:tc>
      </w:tr>
      <w:tr w:rsidR="00BD72D6" w:rsidRPr="0032466F" w:rsidTr="00572120">
        <w:trPr>
          <w:trHeight w:val="45"/>
          <w:jc w:val="center"/>
        </w:trPr>
        <w:tc>
          <w:tcPr>
            <w:tcW w:w="848" w:type="dxa"/>
            <w:tcBorders>
              <w:top w:val="single" w:sz="12" w:space="0" w:color="auto"/>
            </w:tcBorders>
            <w:shd w:val="clear" w:color="auto" w:fill="EAF1DD" w:themeFill="accent3" w:themeFillTint="33"/>
          </w:tcPr>
          <w:p w:rsidR="00BD72D6" w:rsidRPr="0032466F" w:rsidRDefault="00BD72D6" w:rsidP="009959C8">
            <w:pPr>
              <w:pStyle w:val="ListParagraph"/>
              <w:spacing w:before="60" w:after="60"/>
              <w:ind w:left="0"/>
              <w:jc w:val="both"/>
              <w:rPr>
                <w:rFonts w:eastAsia="Times New Roman Bold"/>
                <w:b/>
              </w:rPr>
            </w:pPr>
          </w:p>
        </w:tc>
        <w:tc>
          <w:tcPr>
            <w:tcW w:w="2638" w:type="dxa"/>
            <w:tcBorders>
              <w:top w:val="single" w:sz="12" w:space="0" w:color="auto"/>
            </w:tcBorders>
            <w:shd w:val="clear" w:color="auto" w:fill="C2D69B" w:themeFill="accent3" w:themeFillTint="99"/>
          </w:tcPr>
          <w:p w:rsidR="00BD72D6" w:rsidRPr="005A7197" w:rsidRDefault="00BD72D6" w:rsidP="009959C8">
            <w:pPr>
              <w:pStyle w:val="ListParagraph"/>
              <w:spacing w:before="60" w:after="60"/>
              <w:ind w:left="0"/>
              <w:jc w:val="both"/>
              <w:rPr>
                <w:rFonts w:eastAsia="Times New Roman Bold"/>
                <w:b/>
              </w:rPr>
            </w:pPr>
            <w:r>
              <w:rPr>
                <w:b/>
              </w:rPr>
              <w:t>Kopējais</w:t>
            </w:r>
            <w:r w:rsidRPr="005A7197">
              <w:rPr>
                <w:b/>
              </w:rPr>
              <w:t xml:space="preserve"> punktu skaits kopā:</w:t>
            </w:r>
          </w:p>
        </w:tc>
        <w:tc>
          <w:tcPr>
            <w:tcW w:w="2046" w:type="dxa"/>
            <w:tcBorders>
              <w:top w:val="single" w:sz="12" w:space="0" w:color="auto"/>
            </w:tcBorders>
            <w:shd w:val="clear" w:color="auto" w:fill="76923C" w:themeFill="accent3" w:themeFillShade="BF"/>
          </w:tcPr>
          <w:p w:rsidR="00BD72D6" w:rsidRPr="00572120" w:rsidRDefault="00BD72D6" w:rsidP="009959C8">
            <w:pPr>
              <w:pStyle w:val="ListParagraph"/>
              <w:spacing w:before="60" w:after="60"/>
              <w:ind w:left="0"/>
              <w:jc w:val="center"/>
              <w:rPr>
                <w:rFonts w:eastAsia="Times New Roman Bold"/>
                <w:b/>
                <w:sz w:val="28"/>
                <w:szCs w:val="28"/>
              </w:rPr>
            </w:pPr>
            <w:r w:rsidRPr="00572120">
              <w:rPr>
                <w:rFonts w:eastAsia="Times New Roman Bold"/>
                <w:b/>
                <w:sz w:val="28"/>
                <w:szCs w:val="28"/>
              </w:rPr>
              <w:t>87,04</w:t>
            </w:r>
          </w:p>
          <w:p w:rsidR="00BD72D6" w:rsidRPr="00572120" w:rsidRDefault="00BD72D6" w:rsidP="009959C8">
            <w:pPr>
              <w:pStyle w:val="ListParagraph"/>
              <w:spacing w:before="60" w:after="60"/>
              <w:ind w:left="0"/>
              <w:jc w:val="center"/>
              <w:rPr>
                <w:rFonts w:eastAsia="Times New Roman Bold"/>
                <w:b/>
                <w:sz w:val="28"/>
                <w:szCs w:val="28"/>
              </w:rPr>
            </w:pPr>
          </w:p>
        </w:tc>
        <w:tc>
          <w:tcPr>
            <w:tcW w:w="2046" w:type="dxa"/>
            <w:tcBorders>
              <w:top w:val="single" w:sz="12" w:space="0" w:color="auto"/>
            </w:tcBorders>
            <w:shd w:val="clear" w:color="auto" w:fill="76923C" w:themeFill="accent3" w:themeFillShade="BF"/>
          </w:tcPr>
          <w:p w:rsidR="00BD72D6" w:rsidRPr="00572120" w:rsidRDefault="00BD72D6" w:rsidP="009959C8">
            <w:pPr>
              <w:pStyle w:val="ListParagraph"/>
              <w:spacing w:before="60" w:after="60"/>
              <w:ind w:left="0"/>
              <w:jc w:val="center"/>
              <w:rPr>
                <w:rFonts w:eastAsia="Times New Roman Bold"/>
                <w:b/>
                <w:sz w:val="28"/>
                <w:szCs w:val="28"/>
              </w:rPr>
            </w:pPr>
            <w:r w:rsidRPr="00572120">
              <w:rPr>
                <w:rFonts w:eastAsia="Times New Roman Bold"/>
                <w:b/>
                <w:sz w:val="28"/>
                <w:szCs w:val="28"/>
              </w:rPr>
              <w:t>56,16</w:t>
            </w:r>
          </w:p>
          <w:p w:rsidR="00BD72D6" w:rsidRPr="00572120" w:rsidRDefault="00BD72D6" w:rsidP="009959C8">
            <w:pPr>
              <w:pStyle w:val="ListParagraph"/>
              <w:spacing w:before="60" w:after="60"/>
              <w:ind w:left="0"/>
              <w:jc w:val="center"/>
              <w:rPr>
                <w:rFonts w:eastAsia="Times New Roman Bold"/>
                <w:b/>
                <w:sz w:val="28"/>
                <w:szCs w:val="28"/>
              </w:rPr>
            </w:pPr>
          </w:p>
        </w:tc>
      </w:tr>
    </w:tbl>
    <w:p w:rsidR="00572120" w:rsidRDefault="00572120" w:rsidP="00C13B77">
      <w:pPr>
        <w:jc w:val="both"/>
        <w:rPr>
          <w:highlight w:val="yellow"/>
        </w:rPr>
      </w:pPr>
    </w:p>
    <w:p w:rsidR="00BD72D6" w:rsidRDefault="00572120" w:rsidP="00C13B77">
      <w:pPr>
        <w:jc w:val="both"/>
        <w:rPr>
          <w:sz w:val="20"/>
          <w:szCs w:val="20"/>
        </w:rPr>
      </w:pPr>
      <w:r w:rsidRPr="008C1C7E">
        <w:rPr>
          <w:sz w:val="20"/>
          <w:szCs w:val="20"/>
        </w:rPr>
        <w:t xml:space="preserve">* vidējais vērtējums </w:t>
      </w:r>
      <w:r w:rsidR="008C1C7E" w:rsidRPr="008C1C7E">
        <w:rPr>
          <w:sz w:val="20"/>
          <w:szCs w:val="20"/>
        </w:rPr>
        <w:t>veidots, sasummējot katra</w:t>
      </w:r>
      <w:r w:rsidR="008C1C7E">
        <w:rPr>
          <w:sz w:val="20"/>
          <w:szCs w:val="20"/>
        </w:rPr>
        <w:t xml:space="preserve"> žūrijas</w:t>
      </w:r>
      <w:r w:rsidR="008C1C7E" w:rsidRPr="008C1C7E">
        <w:rPr>
          <w:sz w:val="20"/>
          <w:szCs w:val="20"/>
        </w:rPr>
        <w:t xml:space="preserve"> komisijas locekļa individuālajā vērtēšanas tabulā iekļauto vērtējumu katrā no kritērijiem un rezultātā izdalot</w:t>
      </w:r>
      <w:r w:rsidR="002437FD">
        <w:rPr>
          <w:sz w:val="20"/>
          <w:szCs w:val="20"/>
        </w:rPr>
        <w:t xml:space="preserve"> to ar 10 (komisijas locekļu skai</w:t>
      </w:r>
      <w:r w:rsidR="008C1C7E" w:rsidRPr="008C1C7E">
        <w:rPr>
          <w:sz w:val="20"/>
          <w:szCs w:val="20"/>
        </w:rPr>
        <w:t>ts)</w:t>
      </w:r>
    </w:p>
    <w:p w:rsidR="002437FD" w:rsidRDefault="002437FD" w:rsidP="00C13B77">
      <w:pPr>
        <w:jc w:val="both"/>
        <w:rPr>
          <w:sz w:val="20"/>
          <w:szCs w:val="20"/>
        </w:rPr>
      </w:pPr>
    </w:p>
    <w:p w:rsidR="00EE0B1B" w:rsidRPr="00982431" w:rsidRDefault="00982431" w:rsidP="00982431">
      <w:pPr>
        <w:jc w:val="center"/>
        <w:rPr>
          <w:b/>
        </w:rPr>
      </w:pPr>
      <w:r w:rsidRPr="00982431">
        <w:rPr>
          <w:b/>
        </w:rPr>
        <w:t>METU VĒRTĒJUMS</w:t>
      </w:r>
      <w:r>
        <w:rPr>
          <w:b/>
        </w:rPr>
        <w:t>:</w:t>
      </w:r>
    </w:p>
    <w:tbl>
      <w:tblPr>
        <w:tblStyle w:val="TableGrid"/>
        <w:tblW w:w="9507" w:type="dxa"/>
        <w:tblLook w:val="04A0" w:firstRow="1" w:lastRow="0" w:firstColumn="1" w:lastColumn="0" w:noHBand="0" w:noVBand="1"/>
      </w:tblPr>
      <w:tblGrid>
        <w:gridCol w:w="1865"/>
        <w:gridCol w:w="3868"/>
        <w:gridCol w:w="3774"/>
      </w:tblGrid>
      <w:tr w:rsidR="006327C9" w:rsidRPr="004A34A1" w:rsidTr="00EE0B1B">
        <w:trPr>
          <w:trHeight w:val="145"/>
        </w:trPr>
        <w:tc>
          <w:tcPr>
            <w:tcW w:w="1865" w:type="dxa"/>
            <w:shd w:val="clear" w:color="auto" w:fill="EAF1DD" w:themeFill="accent3" w:themeFillTint="33"/>
          </w:tcPr>
          <w:p w:rsidR="006327C9" w:rsidRPr="00982431" w:rsidRDefault="006327C9" w:rsidP="004A34A1">
            <w:pPr>
              <w:jc w:val="center"/>
              <w:rPr>
                <w:b/>
                <w:sz w:val="20"/>
                <w:szCs w:val="20"/>
              </w:rPr>
            </w:pPr>
          </w:p>
        </w:tc>
        <w:tc>
          <w:tcPr>
            <w:tcW w:w="3868" w:type="dxa"/>
            <w:shd w:val="clear" w:color="auto" w:fill="C2D69B" w:themeFill="accent3" w:themeFillTint="99"/>
          </w:tcPr>
          <w:p w:rsidR="006327C9" w:rsidRPr="004A34A1" w:rsidRDefault="006327C9" w:rsidP="004A34A1">
            <w:pPr>
              <w:jc w:val="center"/>
              <w:rPr>
                <w:b/>
                <w:sz w:val="20"/>
                <w:szCs w:val="20"/>
              </w:rPr>
            </w:pPr>
            <w:r w:rsidRPr="004A34A1">
              <w:rPr>
                <w:b/>
                <w:sz w:val="20"/>
                <w:szCs w:val="20"/>
              </w:rPr>
              <w:t>LIIN0000</w:t>
            </w:r>
          </w:p>
        </w:tc>
        <w:tc>
          <w:tcPr>
            <w:tcW w:w="3774" w:type="dxa"/>
            <w:shd w:val="clear" w:color="auto" w:fill="C2D69B" w:themeFill="accent3" w:themeFillTint="99"/>
          </w:tcPr>
          <w:p w:rsidR="006327C9" w:rsidRPr="004A34A1" w:rsidRDefault="006327C9" w:rsidP="004A34A1">
            <w:pPr>
              <w:jc w:val="center"/>
              <w:rPr>
                <w:b/>
                <w:sz w:val="20"/>
                <w:szCs w:val="20"/>
              </w:rPr>
            </w:pPr>
            <w:r w:rsidRPr="004A34A1">
              <w:rPr>
                <w:b/>
                <w:sz w:val="20"/>
                <w:szCs w:val="20"/>
              </w:rPr>
              <w:t>ACAB2017</w:t>
            </w:r>
          </w:p>
        </w:tc>
      </w:tr>
      <w:tr w:rsidR="006327C9" w:rsidRPr="00C06114" w:rsidTr="00EE0B1B">
        <w:trPr>
          <w:trHeight w:val="145"/>
        </w:trPr>
        <w:tc>
          <w:tcPr>
            <w:tcW w:w="1865" w:type="dxa"/>
            <w:shd w:val="clear" w:color="auto" w:fill="EAF1DD" w:themeFill="accent3" w:themeFillTint="33"/>
          </w:tcPr>
          <w:p w:rsidR="006327C9" w:rsidRPr="00982431" w:rsidRDefault="006327C9" w:rsidP="009959C8">
            <w:pPr>
              <w:jc w:val="both"/>
              <w:rPr>
                <w:b/>
                <w:sz w:val="20"/>
                <w:szCs w:val="20"/>
              </w:rPr>
            </w:pPr>
            <w:r w:rsidRPr="00982431">
              <w:rPr>
                <w:b/>
                <w:sz w:val="20"/>
                <w:szCs w:val="20"/>
              </w:rPr>
              <w:t>Arhitektoniski telpiskā kompozīcija, tās oriģinalitāte.</w:t>
            </w:r>
          </w:p>
        </w:tc>
        <w:tc>
          <w:tcPr>
            <w:tcW w:w="3868" w:type="dxa"/>
          </w:tcPr>
          <w:p w:rsidR="006327C9" w:rsidRDefault="006327C9" w:rsidP="009959C8">
            <w:pPr>
              <w:jc w:val="both"/>
              <w:rPr>
                <w:sz w:val="20"/>
                <w:szCs w:val="20"/>
              </w:rPr>
            </w:pPr>
            <w:r w:rsidRPr="00C06114">
              <w:rPr>
                <w:sz w:val="20"/>
                <w:szCs w:val="20"/>
              </w:rPr>
              <w:t xml:space="preserve">Izvērsta un mūsdienīgi akcentēta jaunbūves kompozīcija, kas labi sasaista ārtelpu ar iekštelpām, radot daudzveidīgi un elastīgi izmantojamu telpisku sistēmu. Atzīstama ideja par iekšējo rekreācijas pagalmu veidošanu, katram deleģējot funkcionālas rekreācijas prioritātes. Tomēr kritiski jāatzīmē, ka šāds telpiskās kompozīcijas princips, veidojot palielinātu ārējo norobežojošo konstrukciju perimetru, rada risku zemiem energoefektivitātes rādītājiem. </w:t>
            </w:r>
            <w:proofErr w:type="gramStart"/>
            <w:r w:rsidRPr="00C06114">
              <w:rPr>
                <w:sz w:val="20"/>
                <w:szCs w:val="20"/>
              </w:rPr>
              <w:t>Bez tam</w:t>
            </w:r>
            <w:proofErr w:type="gramEnd"/>
            <w:r w:rsidRPr="00C06114">
              <w:rPr>
                <w:sz w:val="20"/>
                <w:szCs w:val="20"/>
              </w:rPr>
              <w:t>, atsevišķām kompozīcijas zonām trūkst funkcionāla pamatojuma, piemēram, mierīgās atpūtas zonas daļējam atvērumam pret pilsētas telpu, kas padara šīs zonas pārraudzību daudz grūtāk īstenojamu. Tāpat arī materiālu darbnīcas piegādes funkcijas pieslēgums šai ārtelpai drīzāk to pārvērš par saimniecības pagalmu, nevis mierīgas rekreācijas vietu.</w:t>
            </w:r>
          </w:p>
          <w:p w:rsidR="001C0EDF" w:rsidRPr="001B0878" w:rsidRDefault="001C0EDF" w:rsidP="009959C8">
            <w:pPr>
              <w:jc w:val="both"/>
              <w:rPr>
                <w:sz w:val="20"/>
                <w:szCs w:val="20"/>
              </w:rPr>
            </w:pPr>
            <w:r w:rsidRPr="001B0878">
              <w:rPr>
                <w:sz w:val="20"/>
                <w:szCs w:val="20"/>
              </w:rPr>
              <w:lastRenderedPageBreak/>
              <w:t>B</w:t>
            </w:r>
            <w:r w:rsidRPr="001B0878">
              <w:rPr>
                <w:rFonts w:eastAsia="ヒラギノ角ゴ Pro W3"/>
                <w:sz w:val="20"/>
                <w:szCs w:val="20"/>
              </w:rPr>
              <w:t>ūve ļoti racionāla - ļauj to realizēt vairākās kārtās - realizējot 1. un 2. kārtu, tomēr arhitektoniskā kompozīcija būs samērā nabadzīga, vienkārša un tikai realizējot visas kārtas tiks panākta būves pilnīga arhitektoniski kompozicionālā vienotība, veselums un izte</w:t>
            </w:r>
            <w:r w:rsidR="00D61DB8">
              <w:rPr>
                <w:rFonts w:eastAsia="ヒラギノ角ゴ Pro W3"/>
                <w:sz w:val="20"/>
                <w:szCs w:val="20"/>
              </w:rPr>
              <w:t>i</w:t>
            </w:r>
            <w:r w:rsidRPr="001B0878">
              <w:rPr>
                <w:rFonts w:eastAsia="ヒラギノ角ゴ Pro W3"/>
                <w:sz w:val="20"/>
                <w:szCs w:val="20"/>
              </w:rPr>
              <w:t>ksmība, taču tas prasīs laiku. Salīdzinot ar otru pretendentu ēka arhitektoniski piemērotāka ciema centra videi, lai gan būves centrālā ieeja varētu būt atraktīvāka - vairāk būves funkciju raksturojoša.</w:t>
            </w:r>
          </w:p>
        </w:tc>
        <w:tc>
          <w:tcPr>
            <w:tcW w:w="3774" w:type="dxa"/>
          </w:tcPr>
          <w:p w:rsidR="006327C9" w:rsidRDefault="006327C9" w:rsidP="009959C8">
            <w:pPr>
              <w:jc w:val="both"/>
              <w:rPr>
                <w:sz w:val="20"/>
                <w:szCs w:val="20"/>
              </w:rPr>
            </w:pPr>
            <w:r w:rsidRPr="00C06114">
              <w:rPr>
                <w:sz w:val="20"/>
                <w:szCs w:val="20"/>
              </w:rPr>
              <w:lastRenderedPageBreak/>
              <w:t xml:space="preserve">Iecerēta savdabīga, telpiski daudzveidīga plānojuma shēma, kas tomēr visai būtiskos aspektos neatbilst ēkas funkcionālajām prasībām. Izvēlētajai rekreācijas telpu kompozīcijai raksturīgs palielināts iekštelpu apjoms, kas ēkas ekspluatācijas gaitā radīs </w:t>
            </w:r>
            <w:proofErr w:type="gramStart"/>
            <w:r w:rsidRPr="00C06114">
              <w:rPr>
                <w:sz w:val="20"/>
                <w:szCs w:val="20"/>
              </w:rPr>
              <w:t>ievērojamu apkures</w:t>
            </w:r>
            <w:proofErr w:type="gramEnd"/>
            <w:r w:rsidRPr="00C06114">
              <w:rPr>
                <w:sz w:val="20"/>
                <w:szCs w:val="20"/>
              </w:rPr>
              <w:t>, ventilācijas, apkopes u.c. sadārdzinājumu.</w:t>
            </w:r>
          </w:p>
          <w:p w:rsidR="001B0878" w:rsidRPr="001B0878" w:rsidRDefault="001B0878" w:rsidP="001B0878">
            <w:pPr>
              <w:jc w:val="both"/>
              <w:rPr>
                <w:sz w:val="20"/>
                <w:szCs w:val="20"/>
              </w:rPr>
            </w:pPr>
            <w:r>
              <w:rPr>
                <w:rFonts w:eastAsia="ヒラギノ角ゴ Pro W3"/>
                <w:sz w:val="20"/>
                <w:szCs w:val="20"/>
              </w:rPr>
              <w:t>N</w:t>
            </w:r>
            <w:r w:rsidRPr="001B0878">
              <w:rPr>
                <w:rFonts w:eastAsia="ヒラギノ角ゴ Pro W3"/>
                <w:sz w:val="20"/>
                <w:szCs w:val="20"/>
              </w:rPr>
              <w:t>av pārdomāta objekta rakstura saderība ar konkrēto vidi - Ādažu centru. Nav skaidri izprotams kā būvi varēs realizēt pa kārtām, nezaudējot arhitektoniski kompozicionālās kvalitātes.</w:t>
            </w:r>
          </w:p>
        </w:tc>
      </w:tr>
      <w:tr w:rsidR="006327C9" w:rsidRPr="00C06114" w:rsidTr="00EE0B1B">
        <w:trPr>
          <w:trHeight w:val="145"/>
        </w:trPr>
        <w:tc>
          <w:tcPr>
            <w:tcW w:w="1865" w:type="dxa"/>
            <w:shd w:val="clear" w:color="auto" w:fill="EAF1DD" w:themeFill="accent3" w:themeFillTint="33"/>
          </w:tcPr>
          <w:p w:rsidR="006327C9" w:rsidRPr="00982431" w:rsidRDefault="006327C9" w:rsidP="009959C8">
            <w:pPr>
              <w:jc w:val="both"/>
              <w:rPr>
                <w:b/>
                <w:sz w:val="20"/>
                <w:szCs w:val="20"/>
              </w:rPr>
            </w:pPr>
            <w:r w:rsidRPr="00982431">
              <w:rPr>
                <w:b/>
                <w:sz w:val="20"/>
                <w:szCs w:val="20"/>
              </w:rPr>
              <w:lastRenderedPageBreak/>
              <w:t>Ēkas plānojuma funkcionalitāte.</w:t>
            </w:r>
          </w:p>
        </w:tc>
        <w:tc>
          <w:tcPr>
            <w:tcW w:w="3868" w:type="dxa"/>
          </w:tcPr>
          <w:p w:rsidR="006327C9" w:rsidRPr="001C0EDF" w:rsidRDefault="006327C9" w:rsidP="009959C8">
            <w:pPr>
              <w:jc w:val="both"/>
              <w:rPr>
                <w:sz w:val="20"/>
                <w:szCs w:val="20"/>
              </w:rPr>
            </w:pPr>
            <w:r w:rsidRPr="001C0EDF">
              <w:rPr>
                <w:sz w:val="20"/>
                <w:szCs w:val="20"/>
              </w:rPr>
              <w:t>Pārskatāma un loģiska plānojuma kompozīcija, kas paver iespējas gan atsevišķu zonu savrupai, gan kopējai izmantošanai.</w:t>
            </w:r>
            <w:r w:rsidR="001C0EDF">
              <w:rPr>
                <w:sz w:val="20"/>
                <w:szCs w:val="20"/>
              </w:rPr>
              <w:t xml:space="preserve"> </w:t>
            </w:r>
            <w:r w:rsidR="001C0EDF" w:rsidRPr="001C0EDF">
              <w:rPr>
                <w:rFonts w:eastAsia="ヒラギノ角ゴ Pro W3"/>
                <w:color w:val="000000"/>
                <w:kern w:val="1"/>
                <w:u w:color="000000"/>
              </w:rPr>
              <w:t xml:space="preserve">Ēkas plānojuma funkcionalitāte apmierinoša - daudz </w:t>
            </w:r>
            <w:proofErr w:type="spellStart"/>
            <w:r w:rsidR="001C0EDF" w:rsidRPr="001C0EDF">
              <w:rPr>
                <w:rFonts w:eastAsia="ヒラギノ角ゴ Pro W3"/>
                <w:color w:val="000000"/>
                <w:kern w:val="1"/>
                <w:u w:color="000000"/>
              </w:rPr>
              <w:t>palīgp</w:t>
            </w:r>
            <w:r w:rsidR="00551C31">
              <w:rPr>
                <w:rFonts w:eastAsia="ヒラギノ角ゴ Pro W3"/>
                <w:color w:val="000000"/>
                <w:kern w:val="1"/>
                <w:u w:color="000000"/>
              </w:rPr>
              <w:t>la</w:t>
            </w:r>
            <w:r w:rsidR="001C0EDF" w:rsidRPr="001C0EDF">
              <w:rPr>
                <w:rFonts w:eastAsia="ヒラギノ角ゴ Pro W3"/>
                <w:color w:val="000000"/>
                <w:kern w:val="1"/>
                <w:u w:color="000000"/>
              </w:rPr>
              <w:t>tību</w:t>
            </w:r>
            <w:proofErr w:type="spellEnd"/>
            <w:r w:rsidR="001C0EDF" w:rsidRPr="001C0EDF">
              <w:rPr>
                <w:rFonts w:eastAsia="ヒラギノ角ゴ Pro W3"/>
                <w:color w:val="000000"/>
                <w:kern w:val="1"/>
                <w:u w:color="000000"/>
              </w:rPr>
              <w:t>, interesanti iekšpagalmu risinājumi, klašu telpu orientācija samērā pārdomāta, lai gan mācību telpu izvietojums vienkāršs un pat tradicionāls.</w:t>
            </w:r>
          </w:p>
          <w:p w:rsidR="006327C9" w:rsidRPr="001C0EDF" w:rsidRDefault="006327C9" w:rsidP="009959C8">
            <w:pPr>
              <w:jc w:val="both"/>
              <w:rPr>
                <w:sz w:val="20"/>
                <w:szCs w:val="20"/>
              </w:rPr>
            </w:pPr>
            <w:r w:rsidRPr="001C0EDF">
              <w:rPr>
                <w:sz w:val="20"/>
                <w:szCs w:val="20"/>
              </w:rPr>
              <w:t>Tiesa, atsevišķi</w:t>
            </w:r>
            <w:r w:rsidR="00551C31">
              <w:rPr>
                <w:sz w:val="20"/>
                <w:szCs w:val="20"/>
              </w:rPr>
              <w:t xml:space="preserve"> risinājumi varētu būt pārdomātā</w:t>
            </w:r>
            <w:r w:rsidRPr="001C0EDF">
              <w:rPr>
                <w:sz w:val="20"/>
                <w:szCs w:val="20"/>
              </w:rPr>
              <w:t>ki, tā, piemēram:</w:t>
            </w:r>
          </w:p>
          <w:p w:rsidR="006327C9" w:rsidRPr="001C0EDF" w:rsidRDefault="006327C9" w:rsidP="006327C9">
            <w:pPr>
              <w:pStyle w:val="ListParagraph"/>
              <w:numPr>
                <w:ilvl w:val="0"/>
                <w:numId w:val="12"/>
              </w:numPr>
              <w:tabs>
                <w:tab w:val="left" w:pos="600"/>
              </w:tabs>
              <w:suppressAutoHyphens/>
              <w:ind w:left="0" w:firstLine="0"/>
              <w:contextualSpacing w:val="0"/>
              <w:jc w:val="both"/>
              <w:rPr>
                <w:sz w:val="20"/>
                <w:szCs w:val="20"/>
              </w:rPr>
            </w:pPr>
            <w:r w:rsidRPr="001C0EDF">
              <w:rPr>
                <w:sz w:val="20"/>
                <w:szCs w:val="20"/>
              </w:rPr>
              <w:t>virsdrēbju garderobes faktiski nav apsargājamas;</w:t>
            </w:r>
          </w:p>
          <w:p w:rsidR="006327C9" w:rsidRPr="001C0EDF" w:rsidRDefault="006327C9" w:rsidP="006327C9">
            <w:pPr>
              <w:pStyle w:val="ListParagraph"/>
              <w:numPr>
                <w:ilvl w:val="0"/>
                <w:numId w:val="12"/>
              </w:numPr>
              <w:tabs>
                <w:tab w:val="left" w:pos="600"/>
              </w:tabs>
              <w:suppressAutoHyphens/>
              <w:ind w:left="0" w:firstLine="0"/>
              <w:contextualSpacing w:val="0"/>
              <w:jc w:val="both"/>
              <w:rPr>
                <w:sz w:val="20"/>
                <w:szCs w:val="20"/>
              </w:rPr>
            </w:pPr>
            <w:r w:rsidRPr="001C0EDF">
              <w:rPr>
                <w:sz w:val="20"/>
                <w:szCs w:val="20"/>
              </w:rPr>
              <w:t>neērti risināta virtuves personāla komunikācija starp virtuvi pirmajā un palīgtelpu otrajā stāvā – šim nolūkam iespējams izmantot tikai koplietošanas kāpnes, kurās ieeja maksimāli attālināta no virtuves telpām;</w:t>
            </w:r>
          </w:p>
          <w:p w:rsidR="006327C9" w:rsidRPr="00C06114" w:rsidRDefault="006327C9" w:rsidP="006327C9">
            <w:pPr>
              <w:pStyle w:val="ListParagraph"/>
              <w:numPr>
                <w:ilvl w:val="0"/>
                <w:numId w:val="12"/>
              </w:numPr>
              <w:tabs>
                <w:tab w:val="left" w:pos="600"/>
              </w:tabs>
              <w:suppressAutoHyphens/>
              <w:ind w:left="0" w:firstLine="0"/>
              <w:contextualSpacing w:val="0"/>
              <w:jc w:val="both"/>
              <w:rPr>
                <w:sz w:val="20"/>
                <w:szCs w:val="20"/>
              </w:rPr>
            </w:pPr>
            <w:r w:rsidRPr="001C0EDF">
              <w:rPr>
                <w:sz w:val="20"/>
                <w:szCs w:val="20"/>
              </w:rPr>
              <w:t>vislielākā plānā paredzētā cilvēku skaita vienlaicīgas uzturēšanās gadījumā netiek nodrošinātas evakuācijas</w:t>
            </w:r>
            <w:r w:rsidRPr="00C06114">
              <w:rPr>
                <w:sz w:val="20"/>
                <w:szCs w:val="20"/>
              </w:rPr>
              <w:t xml:space="preserve"> prasības no trešajā stāvā izvietotajām telpām;</w:t>
            </w:r>
          </w:p>
          <w:p w:rsidR="006327C9" w:rsidRPr="00C06114" w:rsidRDefault="006327C9" w:rsidP="006327C9">
            <w:pPr>
              <w:pStyle w:val="ListParagraph"/>
              <w:numPr>
                <w:ilvl w:val="0"/>
                <w:numId w:val="12"/>
              </w:numPr>
              <w:tabs>
                <w:tab w:val="left" w:pos="600"/>
              </w:tabs>
              <w:suppressAutoHyphens/>
              <w:ind w:left="0" w:firstLine="0"/>
              <w:contextualSpacing w:val="0"/>
              <w:jc w:val="both"/>
              <w:rPr>
                <w:sz w:val="20"/>
                <w:szCs w:val="20"/>
              </w:rPr>
            </w:pPr>
            <w:r w:rsidRPr="00C06114">
              <w:rPr>
                <w:sz w:val="20"/>
                <w:szCs w:val="20"/>
              </w:rPr>
              <w:t>ēkas plānojuma kompozīcijas principos neierakstās no apjoma izvirzītās evakuācijas kāpnes starp asīm A un B, kuras arī nav attēlotas zemesgabala plānojuma lapās;</w:t>
            </w:r>
          </w:p>
          <w:p w:rsidR="006327C9" w:rsidRPr="00C06114" w:rsidRDefault="006327C9" w:rsidP="006327C9">
            <w:pPr>
              <w:pStyle w:val="ListParagraph"/>
              <w:numPr>
                <w:ilvl w:val="0"/>
                <w:numId w:val="12"/>
              </w:numPr>
              <w:tabs>
                <w:tab w:val="left" w:pos="600"/>
              </w:tabs>
              <w:suppressAutoHyphens/>
              <w:ind w:left="0" w:firstLine="0"/>
              <w:contextualSpacing w:val="0"/>
              <w:jc w:val="both"/>
              <w:rPr>
                <w:sz w:val="20"/>
                <w:szCs w:val="20"/>
              </w:rPr>
            </w:pPr>
            <w:r w:rsidRPr="00C06114">
              <w:rPr>
                <w:sz w:val="20"/>
                <w:szCs w:val="20"/>
              </w:rPr>
              <w:t>pie izejas uz skolas mācību dārzu nav palīgtelpas darbarīku, virsvalku u.c. āra darbībai nepieciešamu pied</w:t>
            </w:r>
            <w:r w:rsidR="00551C31">
              <w:rPr>
                <w:sz w:val="20"/>
                <w:szCs w:val="20"/>
              </w:rPr>
              <w:t>e</w:t>
            </w:r>
            <w:r w:rsidRPr="00C06114">
              <w:rPr>
                <w:sz w:val="20"/>
                <w:szCs w:val="20"/>
              </w:rPr>
              <w:t>rumu uzglabāšanai; ierobežotas arī roku mazgāšanas iespējas – šim nolūkam izmantojamas vienīgi pēc konfigurācijas ne pārāk ērtās tualešu priekštelpas;</w:t>
            </w:r>
          </w:p>
          <w:p w:rsidR="006327C9" w:rsidRPr="00C06114" w:rsidRDefault="006327C9" w:rsidP="006327C9">
            <w:pPr>
              <w:pStyle w:val="ListParagraph"/>
              <w:numPr>
                <w:ilvl w:val="0"/>
                <w:numId w:val="12"/>
              </w:numPr>
              <w:tabs>
                <w:tab w:val="left" w:pos="600"/>
              </w:tabs>
              <w:suppressAutoHyphens/>
              <w:ind w:left="0" w:firstLine="0"/>
              <w:contextualSpacing w:val="0"/>
              <w:jc w:val="both"/>
              <w:rPr>
                <w:sz w:val="20"/>
                <w:szCs w:val="20"/>
              </w:rPr>
            </w:pPr>
            <w:r w:rsidRPr="00C06114">
              <w:rPr>
                <w:sz w:val="20"/>
                <w:szCs w:val="20"/>
              </w:rPr>
              <w:t>daļai telpu netiek piedāvāts dabīgais izgaismojums pat tur, kur to bez īpašām problēmām iespējams nodrošināt, piemēram, tualešu telpās starp asīm P/12 – P/14 un P/6.</w:t>
            </w:r>
          </w:p>
        </w:tc>
        <w:tc>
          <w:tcPr>
            <w:tcW w:w="3774" w:type="dxa"/>
          </w:tcPr>
          <w:p w:rsidR="001B0878" w:rsidRPr="001B0878" w:rsidRDefault="001B0878" w:rsidP="001B08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imes New Roman" w:hAnsi="Times New Roman"/>
                <w:kern w:val="1"/>
                <w:sz w:val="20"/>
                <w:u w:color="000000"/>
                <w:lang w:val="lv-LV"/>
              </w:rPr>
            </w:pPr>
            <w:r w:rsidRPr="001B0878">
              <w:rPr>
                <w:rFonts w:ascii="Times New Roman" w:hAnsi="Times New Roman"/>
                <w:kern w:val="1"/>
                <w:sz w:val="20"/>
                <w:u w:color="000000"/>
                <w:lang w:val="lv-LV"/>
              </w:rPr>
              <w:t>Ēkas plānojuma funkcionalitātē</w:t>
            </w:r>
            <w:r w:rsidR="0068304D">
              <w:rPr>
                <w:rFonts w:ascii="Times New Roman" w:hAnsi="Times New Roman"/>
                <w:kern w:val="1"/>
                <w:sz w:val="20"/>
                <w:u w:color="000000"/>
                <w:lang w:val="lv-LV"/>
              </w:rPr>
              <w:t xml:space="preserve"> būtu </w:t>
            </w:r>
            <w:r w:rsidRPr="001B0878">
              <w:rPr>
                <w:rFonts w:ascii="Times New Roman" w:hAnsi="Times New Roman"/>
                <w:kern w:val="1"/>
                <w:sz w:val="20"/>
                <w:u w:color="000000"/>
                <w:lang w:val="lv-LV"/>
              </w:rPr>
              <w:t xml:space="preserve"> vēlami uzlabojumi, jo neapmierina klašu telpu orientācija pret debess pusēm, kā arī nepieņemams ir daļas klašu telpu izgaismojums tikai ar 1 plašu </w:t>
            </w:r>
            <w:proofErr w:type="spellStart"/>
            <w:r w:rsidRPr="001B0878">
              <w:rPr>
                <w:rFonts w:ascii="Times New Roman" w:hAnsi="Times New Roman"/>
                <w:kern w:val="1"/>
                <w:sz w:val="20"/>
                <w:u w:color="000000"/>
                <w:lang w:val="lv-LV"/>
              </w:rPr>
              <w:t>sānlogu</w:t>
            </w:r>
            <w:proofErr w:type="spellEnd"/>
            <w:r w:rsidRPr="001B0878">
              <w:rPr>
                <w:rFonts w:ascii="Times New Roman" w:hAnsi="Times New Roman"/>
                <w:kern w:val="1"/>
                <w:sz w:val="20"/>
                <w:u w:color="000000"/>
                <w:lang w:val="lv-LV"/>
              </w:rPr>
              <w:t xml:space="preserve"> (aizņem apmēram 1/4 daļu sienas) un diviem logiem virs tāfeles, kas noteikti apgrūtinās skolēnu uztveri īpaši gaišajās dienas stundās, turklāt 3/4 klases telpas tiek izgaismotas ar mākslīgo apgaismojumu (droši vien arī gaišajās laikā) un pat ar otro g</w:t>
            </w:r>
            <w:r w:rsidR="00551C31">
              <w:rPr>
                <w:rFonts w:ascii="Times New Roman" w:hAnsi="Times New Roman"/>
                <w:kern w:val="1"/>
                <w:sz w:val="20"/>
                <w:u w:color="000000"/>
                <w:lang w:val="lv-LV"/>
              </w:rPr>
              <w:t xml:space="preserve">aismu. Plašais loga risinājums </w:t>
            </w:r>
            <w:r w:rsidRPr="001B0878">
              <w:rPr>
                <w:rFonts w:ascii="Times New Roman" w:hAnsi="Times New Roman"/>
                <w:kern w:val="1"/>
                <w:sz w:val="20"/>
                <w:u w:color="000000"/>
                <w:lang w:val="lv-LV"/>
              </w:rPr>
              <w:t xml:space="preserve">neatbilst pamatskolas drošuma funkcijām, jo logam nepieciešamas aizsargbarjeras, kas projektā nav risinātas. </w:t>
            </w:r>
          </w:p>
          <w:p w:rsidR="001B0878" w:rsidRDefault="001B0878" w:rsidP="001B0878">
            <w:pPr>
              <w:jc w:val="both"/>
              <w:rPr>
                <w:rFonts w:eastAsia="ヒラギノ角ゴ Pro W3"/>
                <w:color w:val="000000"/>
                <w:kern w:val="1"/>
                <w:sz w:val="20"/>
                <w:szCs w:val="20"/>
                <w:u w:color="000000"/>
              </w:rPr>
            </w:pPr>
            <w:r w:rsidRPr="001B0878">
              <w:rPr>
                <w:rFonts w:eastAsia="ヒラギノ角ゴ Pro W3"/>
                <w:color w:val="000000"/>
                <w:kern w:val="1"/>
                <w:sz w:val="20"/>
                <w:szCs w:val="20"/>
                <w:u w:color="000000"/>
              </w:rPr>
              <w:t>Iekštelpā 2.līmenī risināti gaiteņi ar lielām pārkarēm (konsolēm), kas noteikti sadārdzinās konstruktīvo risinājumu.</w:t>
            </w:r>
          </w:p>
          <w:p w:rsidR="0068304D" w:rsidRPr="0068304D" w:rsidRDefault="0068304D" w:rsidP="001B0878">
            <w:pPr>
              <w:jc w:val="both"/>
              <w:rPr>
                <w:rFonts w:eastAsia="ヒラギノ角ゴ Pro W3"/>
                <w:color w:val="000000"/>
                <w:kern w:val="1"/>
                <w:sz w:val="20"/>
                <w:szCs w:val="20"/>
                <w:u w:color="000000"/>
              </w:rPr>
            </w:pPr>
          </w:p>
          <w:p w:rsidR="0068304D" w:rsidRPr="00C06114" w:rsidRDefault="0068304D" w:rsidP="0068304D">
            <w:pPr>
              <w:jc w:val="both"/>
              <w:rPr>
                <w:sz w:val="20"/>
                <w:szCs w:val="20"/>
              </w:rPr>
            </w:pPr>
            <w:r w:rsidRPr="00C06114">
              <w:rPr>
                <w:sz w:val="20"/>
                <w:szCs w:val="20"/>
              </w:rPr>
              <w:t xml:space="preserve">Lai gan projektam pievienotajās interjera </w:t>
            </w:r>
            <w:proofErr w:type="spellStart"/>
            <w:r w:rsidRPr="00C06114">
              <w:rPr>
                <w:sz w:val="20"/>
                <w:szCs w:val="20"/>
              </w:rPr>
              <w:t>vizualizācijās</w:t>
            </w:r>
            <w:proofErr w:type="spellEnd"/>
            <w:r w:rsidRPr="00C06114">
              <w:rPr>
                <w:sz w:val="20"/>
                <w:szCs w:val="20"/>
              </w:rPr>
              <w:t xml:space="preserve"> skatāma gaiša un telpiski bagāta vide, nevar neatzīmēt būtiskus projekta pieļautos trūkumus:</w:t>
            </w:r>
          </w:p>
          <w:p w:rsidR="0068304D" w:rsidRPr="00C06114" w:rsidRDefault="0068304D" w:rsidP="0068304D">
            <w:pPr>
              <w:pStyle w:val="ListParagraph"/>
              <w:numPr>
                <w:ilvl w:val="0"/>
                <w:numId w:val="12"/>
              </w:numPr>
              <w:tabs>
                <w:tab w:val="left" w:pos="600"/>
              </w:tabs>
              <w:suppressAutoHyphens/>
              <w:ind w:left="0" w:firstLine="0"/>
              <w:contextualSpacing w:val="0"/>
              <w:jc w:val="both"/>
              <w:rPr>
                <w:sz w:val="20"/>
                <w:szCs w:val="20"/>
              </w:rPr>
            </w:pPr>
            <w:r w:rsidRPr="00C06114">
              <w:rPr>
                <w:sz w:val="20"/>
                <w:szCs w:val="20"/>
              </w:rPr>
              <w:t>neievērojot LBN 208-15 24. punkta, 2. pielikuma 2 punkta, kā arī LR MK 27.12.2002. noteikumu Nr. 610 41. un 43. punkta prasības, lielākajai daļai mācību telpu netiek nodrošināts dabīgais apgaismojums;</w:t>
            </w:r>
          </w:p>
          <w:p w:rsidR="0068304D" w:rsidRPr="00C06114" w:rsidRDefault="0068304D" w:rsidP="0068304D">
            <w:pPr>
              <w:pStyle w:val="ListParagraph"/>
              <w:numPr>
                <w:ilvl w:val="0"/>
                <w:numId w:val="12"/>
              </w:numPr>
              <w:tabs>
                <w:tab w:val="left" w:pos="600"/>
              </w:tabs>
              <w:suppressAutoHyphens/>
              <w:ind w:left="0" w:firstLine="0"/>
              <w:contextualSpacing w:val="0"/>
              <w:jc w:val="both"/>
              <w:rPr>
                <w:sz w:val="20"/>
                <w:szCs w:val="20"/>
              </w:rPr>
            </w:pPr>
            <w:r w:rsidRPr="00C06114">
              <w:rPr>
                <w:sz w:val="20"/>
                <w:szCs w:val="20"/>
              </w:rPr>
              <w:t xml:space="preserve">aulai plānojuma kompozīcijā ierādīta viena no necilākajām un telpiski neakcentētākajām zonām; </w:t>
            </w:r>
            <w:proofErr w:type="gramStart"/>
            <w:r w:rsidRPr="00C06114">
              <w:rPr>
                <w:sz w:val="20"/>
                <w:szCs w:val="20"/>
              </w:rPr>
              <w:t>bez tam</w:t>
            </w:r>
            <w:proofErr w:type="gramEnd"/>
            <w:r w:rsidRPr="00C06114">
              <w:rPr>
                <w:sz w:val="20"/>
                <w:szCs w:val="20"/>
              </w:rPr>
              <w:t xml:space="preserve"> aulas konfigurācija grūti savienojama ar tās funkciju, un tai praktiski nav pietiekamas platības vestibila pie ieejas;</w:t>
            </w:r>
          </w:p>
          <w:p w:rsidR="0068304D" w:rsidRPr="00C06114" w:rsidRDefault="0068304D" w:rsidP="0068304D">
            <w:pPr>
              <w:pStyle w:val="ListParagraph"/>
              <w:numPr>
                <w:ilvl w:val="0"/>
                <w:numId w:val="12"/>
              </w:numPr>
              <w:tabs>
                <w:tab w:val="left" w:pos="600"/>
              </w:tabs>
              <w:suppressAutoHyphens/>
              <w:ind w:left="0" w:firstLine="0"/>
              <w:contextualSpacing w:val="0"/>
              <w:jc w:val="both"/>
              <w:rPr>
                <w:sz w:val="20"/>
                <w:szCs w:val="20"/>
              </w:rPr>
            </w:pPr>
            <w:r w:rsidRPr="00C06114">
              <w:rPr>
                <w:sz w:val="20"/>
                <w:szCs w:val="20"/>
              </w:rPr>
              <w:t>izeja uz āra sporta nodarbību laukumu ir ievērojami attālināta no ģērbtuvēm;</w:t>
            </w:r>
          </w:p>
          <w:p w:rsidR="0068304D" w:rsidRPr="00C06114" w:rsidRDefault="0068304D" w:rsidP="0068304D">
            <w:pPr>
              <w:pStyle w:val="ListParagraph"/>
              <w:numPr>
                <w:ilvl w:val="0"/>
                <w:numId w:val="12"/>
              </w:numPr>
              <w:tabs>
                <w:tab w:val="left" w:pos="600"/>
              </w:tabs>
              <w:suppressAutoHyphens/>
              <w:ind w:left="0" w:firstLine="0"/>
              <w:contextualSpacing w:val="0"/>
              <w:jc w:val="both"/>
              <w:rPr>
                <w:sz w:val="20"/>
                <w:szCs w:val="20"/>
              </w:rPr>
            </w:pPr>
            <w:r w:rsidRPr="00C06114">
              <w:rPr>
                <w:sz w:val="20"/>
                <w:szCs w:val="20"/>
              </w:rPr>
              <w:t>nav iespējams izmantot virtuvi, nešķērsojot ar produktu un atkritumu plūsmām rekreācijas telpas skolas mācību zonā.</w:t>
            </w:r>
          </w:p>
          <w:p w:rsidR="0068304D" w:rsidRPr="0068304D" w:rsidRDefault="0068304D" w:rsidP="001B0878">
            <w:pPr>
              <w:jc w:val="both"/>
              <w:rPr>
                <w:sz w:val="20"/>
                <w:szCs w:val="20"/>
              </w:rPr>
            </w:pPr>
          </w:p>
        </w:tc>
      </w:tr>
      <w:tr w:rsidR="006327C9" w:rsidRPr="00C06114" w:rsidTr="00EE0B1B">
        <w:trPr>
          <w:trHeight w:val="145"/>
        </w:trPr>
        <w:tc>
          <w:tcPr>
            <w:tcW w:w="1865" w:type="dxa"/>
            <w:shd w:val="clear" w:color="auto" w:fill="EAF1DD" w:themeFill="accent3" w:themeFillTint="33"/>
          </w:tcPr>
          <w:p w:rsidR="006327C9" w:rsidRPr="00982431" w:rsidRDefault="006327C9" w:rsidP="006920F3">
            <w:pPr>
              <w:jc w:val="both"/>
              <w:rPr>
                <w:b/>
                <w:sz w:val="20"/>
                <w:szCs w:val="20"/>
              </w:rPr>
            </w:pPr>
            <w:r w:rsidRPr="00982431">
              <w:rPr>
                <w:b/>
                <w:sz w:val="20"/>
                <w:szCs w:val="20"/>
              </w:rPr>
              <w:t>Objekta atbilstība videi un izmantošanas mērķim</w:t>
            </w:r>
            <w:r w:rsidR="006920F3" w:rsidRPr="00982431">
              <w:rPr>
                <w:b/>
                <w:sz w:val="20"/>
                <w:szCs w:val="20"/>
              </w:rPr>
              <w:t>, labiekārtojums.</w:t>
            </w:r>
          </w:p>
        </w:tc>
        <w:tc>
          <w:tcPr>
            <w:tcW w:w="3868" w:type="dxa"/>
          </w:tcPr>
          <w:p w:rsidR="006327C9" w:rsidRDefault="006327C9" w:rsidP="009959C8">
            <w:pPr>
              <w:jc w:val="both"/>
              <w:rPr>
                <w:sz w:val="20"/>
                <w:szCs w:val="20"/>
              </w:rPr>
            </w:pPr>
            <w:r w:rsidRPr="00C06114">
              <w:rPr>
                <w:sz w:val="20"/>
                <w:szCs w:val="20"/>
              </w:rPr>
              <w:t xml:space="preserve">Jaunbūve salīdzinoši labi ierakstīta zemesgabalā, un izvēlētā apjomu kompozīcija ar ieeju risinājumiem visapkārt ēkai it kā mazina “saimniecības puses” un “parādes puses” vizuālās un funkcionālās atšķirības, tomēr “parādes pusei” atvēlēta salīdzinoši plaša atkāpe no Attekas ielas, kā rezultāta apbūve pārlieku pietuvināta </w:t>
            </w:r>
            <w:r w:rsidRPr="00C06114">
              <w:rPr>
                <w:sz w:val="20"/>
                <w:szCs w:val="20"/>
              </w:rPr>
              <w:lastRenderedPageBreak/>
              <w:t xml:space="preserve">aizmugures piebraucamajam ceļam, tur radot nevajadzīgu funkcionālu pārslodzi. </w:t>
            </w:r>
            <w:proofErr w:type="gramStart"/>
            <w:r w:rsidRPr="00C06114">
              <w:rPr>
                <w:sz w:val="20"/>
                <w:szCs w:val="20"/>
              </w:rPr>
              <w:t>Savukārt,</w:t>
            </w:r>
            <w:proofErr w:type="gramEnd"/>
            <w:r w:rsidRPr="00C06114">
              <w:rPr>
                <w:sz w:val="20"/>
                <w:szCs w:val="20"/>
              </w:rPr>
              <w:t xml:space="preserve"> “par</w:t>
            </w:r>
            <w:r w:rsidR="00D61DB8">
              <w:rPr>
                <w:sz w:val="20"/>
                <w:szCs w:val="20"/>
              </w:rPr>
              <w:t>ādes puses” teritorijas potenciā</w:t>
            </w:r>
            <w:r w:rsidRPr="00C06114">
              <w:rPr>
                <w:sz w:val="20"/>
                <w:szCs w:val="20"/>
              </w:rPr>
              <w:t>ls funkcionāli netiek izmantots pilnvērtīgi.</w:t>
            </w:r>
          </w:p>
          <w:p w:rsidR="006920F3" w:rsidRPr="006920F3" w:rsidRDefault="006920F3" w:rsidP="009959C8">
            <w:pPr>
              <w:jc w:val="both"/>
              <w:rPr>
                <w:sz w:val="20"/>
                <w:szCs w:val="20"/>
              </w:rPr>
            </w:pPr>
            <w:r w:rsidRPr="006920F3">
              <w:rPr>
                <w:rFonts w:eastAsia="ヒラギノ角ゴ Pro W3"/>
                <w:sz w:val="20"/>
                <w:szCs w:val="20"/>
              </w:rPr>
              <w:t>Pretendents samērā rūpīgi veicis teritorijas izpēti un plānojumu. Labiekārtojuma elementi izvēlēti daudzveidīgi, zaļo stādījumu grupas veido kompozicionāli noslēgtu, harmonisku koncepciju, kas papildina arhitektonisko risinājumu. Iepretim mācību telpām veidotas zaļās zālāju zonas, nevis cietā seguma laukumi. Ar cieto segumu klātas nelielas teritorijas attiecībā pret visu gruntsgabalu.</w:t>
            </w:r>
          </w:p>
        </w:tc>
        <w:tc>
          <w:tcPr>
            <w:tcW w:w="3774" w:type="dxa"/>
          </w:tcPr>
          <w:p w:rsidR="006327C9" w:rsidRDefault="006327C9" w:rsidP="009959C8">
            <w:pPr>
              <w:jc w:val="both"/>
              <w:rPr>
                <w:sz w:val="20"/>
                <w:szCs w:val="20"/>
              </w:rPr>
            </w:pPr>
            <w:r w:rsidRPr="00C06114">
              <w:rPr>
                <w:sz w:val="20"/>
                <w:szCs w:val="20"/>
              </w:rPr>
              <w:lastRenderedPageBreak/>
              <w:t xml:space="preserve">Jaunbūve labi ierakstīta zemesgabalā, un izvēlētā apjomu kompozīcija no visām pusēm nodrošina līdzvērtīgu ēkas uztveri. Tomēr atsevišķas funkcijas, piemēram, ārējais sporta laukums un skolas pagalms īsti neierakstās šai koncepcijā, radot “pārpalikuma principa“ iespaidu, ko akcentē, piemēram, skolas apjoma </w:t>
            </w:r>
            <w:r w:rsidRPr="00C06114">
              <w:rPr>
                <w:sz w:val="20"/>
                <w:szCs w:val="20"/>
              </w:rPr>
              <w:lastRenderedPageBreak/>
              <w:t>arhitektūrai s</w:t>
            </w:r>
            <w:r w:rsidR="00D61DB8">
              <w:rPr>
                <w:sz w:val="20"/>
                <w:szCs w:val="20"/>
              </w:rPr>
              <w:t>vešais un utilitārais sporta lau</w:t>
            </w:r>
            <w:r w:rsidRPr="00C06114">
              <w:rPr>
                <w:sz w:val="20"/>
                <w:szCs w:val="20"/>
              </w:rPr>
              <w:t>kuma no</w:t>
            </w:r>
            <w:r w:rsidR="00D61DB8">
              <w:rPr>
                <w:sz w:val="20"/>
                <w:szCs w:val="20"/>
              </w:rPr>
              <w:t>ž</w:t>
            </w:r>
            <w:r w:rsidRPr="00C06114">
              <w:rPr>
                <w:sz w:val="20"/>
                <w:szCs w:val="20"/>
              </w:rPr>
              <w:t>ogojuma priekšlikums.</w:t>
            </w:r>
          </w:p>
          <w:p w:rsidR="006920F3" w:rsidRPr="006920F3" w:rsidRDefault="006920F3" w:rsidP="009959C8">
            <w:pPr>
              <w:jc w:val="both"/>
              <w:rPr>
                <w:sz w:val="20"/>
                <w:szCs w:val="20"/>
              </w:rPr>
            </w:pPr>
            <w:r w:rsidRPr="006920F3">
              <w:rPr>
                <w:rFonts w:eastAsia="ヒラギノ角ゴ Pro W3"/>
                <w:sz w:val="20"/>
                <w:szCs w:val="20"/>
              </w:rPr>
              <w:t xml:space="preserve">Labiekārtojuma risinājums samērā nabadzīgs. Pretendents nav devis priekšlikumus mazajām arhitektūras formām un elementiem. Šķiet, ka labiekārtojums konceptuāli nav izstrādāts līdz pabeigtībai un vēl pilnveidojams. Samērā plaša </w:t>
            </w:r>
            <w:proofErr w:type="gramStart"/>
            <w:r w:rsidRPr="006920F3">
              <w:rPr>
                <w:rFonts w:eastAsia="ヒラギノ角ゴ Pro W3"/>
                <w:sz w:val="20"/>
                <w:szCs w:val="20"/>
              </w:rPr>
              <w:t>teritorija</w:t>
            </w:r>
            <w:proofErr w:type="gramEnd"/>
            <w:r w:rsidRPr="006920F3">
              <w:rPr>
                <w:rFonts w:eastAsia="ヒラギノ角ゴ Pro W3"/>
                <w:sz w:val="20"/>
                <w:szCs w:val="20"/>
              </w:rPr>
              <w:t xml:space="preserve"> klāta ar cieto segumu, maz zaļo zonu. Āra sporta laukums novietots tuvu daudzstāvu dzīvojamam namam, kas radīs paaugstināta trokšņa problēmas. Nav sniegts risinājums trokšņu līmeņa samazināšanai.</w:t>
            </w:r>
          </w:p>
        </w:tc>
      </w:tr>
      <w:tr w:rsidR="006327C9" w:rsidRPr="00C06114" w:rsidTr="00EE0B1B">
        <w:trPr>
          <w:trHeight w:val="416"/>
        </w:trPr>
        <w:tc>
          <w:tcPr>
            <w:tcW w:w="1865" w:type="dxa"/>
            <w:shd w:val="clear" w:color="auto" w:fill="EAF1DD" w:themeFill="accent3" w:themeFillTint="33"/>
          </w:tcPr>
          <w:p w:rsidR="006327C9" w:rsidRPr="00982431" w:rsidRDefault="006327C9" w:rsidP="009959C8">
            <w:pPr>
              <w:jc w:val="both"/>
              <w:rPr>
                <w:b/>
                <w:sz w:val="20"/>
                <w:szCs w:val="20"/>
              </w:rPr>
            </w:pPr>
            <w:r w:rsidRPr="00982431">
              <w:rPr>
                <w:b/>
                <w:sz w:val="20"/>
                <w:szCs w:val="20"/>
              </w:rPr>
              <w:lastRenderedPageBreak/>
              <w:t>Transporta kustības organizācija un autostāvvietu nodrošinājums skolai piegulošā kvartālā – teritorijā starp Gaujas ielu, Pirmo ielu, sporta kompleksu un Gaujas upi.</w:t>
            </w:r>
          </w:p>
        </w:tc>
        <w:tc>
          <w:tcPr>
            <w:tcW w:w="3868" w:type="dxa"/>
          </w:tcPr>
          <w:p w:rsidR="006327C9" w:rsidRPr="00C06114" w:rsidRDefault="006327C9" w:rsidP="009959C8">
            <w:pPr>
              <w:jc w:val="both"/>
              <w:rPr>
                <w:sz w:val="20"/>
                <w:szCs w:val="20"/>
              </w:rPr>
            </w:pPr>
            <w:r w:rsidRPr="00C06114">
              <w:rPr>
                <w:sz w:val="20"/>
                <w:szCs w:val="20"/>
              </w:rPr>
              <w:t>Pārskatāmi izstrādāta satiksmes organizācija gan kvartāla, gan skolas teritorijas robežās.</w:t>
            </w:r>
          </w:p>
          <w:p w:rsidR="006327C9" w:rsidRDefault="006327C9" w:rsidP="009959C8">
            <w:pPr>
              <w:jc w:val="both"/>
              <w:rPr>
                <w:sz w:val="20"/>
                <w:szCs w:val="20"/>
              </w:rPr>
            </w:pPr>
            <w:r w:rsidRPr="00C06114">
              <w:rPr>
                <w:sz w:val="20"/>
                <w:szCs w:val="20"/>
              </w:rPr>
              <w:t>Atzīstami, ka galvenā satiksmes slodze deleģēta Attekas ielai, kura ir mazāk noslogota par Gaujas ielu. Kā trūkumus var atzīmēt vāji argumentētu īslaicīgas lietošanas autostāvvietu attālinājumu no galvenās ieejas ēkā. Tāpat nav pārliecinošs skolas darbinieku autostāvvietu izvietojums ēkas aizmugurē.</w:t>
            </w:r>
          </w:p>
          <w:p w:rsidR="00E8076B" w:rsidRDefault="00E8076B" w:rsidP="009959C8">
            <w:pPr>
              <w:jc w:val="both"/>
              <w:rPr>
                <w:rFonts w:eastAsia="ヒラギノ角ゴ Pro W3"/>
                <w:sz w:val="20"/>
                <w:szCs w:val="20"/>
              </w:rPr>
            </w:pPr>
            <w:r w:rsidRPr="00E8076B">
              <w:rPr>
                <w:rFonts w:eastAsia="ヒラギノ角ゴ Pro W3"/>
                <w:sz w:val="20"/>
                <w:szCs w:val="20"/>
              </w:rPr>
              <w:t xml:space="preserve">Transporta kustība izstrādāta ne tikai piegulošajam kvartālam, bet daudz plašākā areālā. Diskutabls ir skolas autobusa stāvvietas laukumiņš tieši pie centrālās ieejas. Pamatā transporta un gājēju plūsmas risinātas veiksmīgi, ņemot vērā esošo izveidojušos situāciju. Atklāts jautājums par stāvvietu skaitu pie </w:t>
            </w:r>
            <w:proofErr w:type="spellStart"/>
            <w:r w:rsidRPr="00E8076B">
              <w:rPr>
                <w:rFonts w:eastAsia="ヒラギノ角ゴ Pro W3"/>
                <w:sz w:val="20"/>
                <w:szCs w:val="20"/>
              </w:rPr>
              <w:t>blakuskvartālā</w:t>
            </w:r>
            <w:proofErr w:type="spellEnd"/>
            <w:r w:rsidRPr="00E8076B">
              <w:rPr>
                <w:rFonts w:eastAsia="ヒラギノ角ゴ Pro W3"/>
                <w:sz w:val="20"/>
                <w:szCs w:val="20"/>
              </w:rPr>
              <w:t xml:space="preserve"> esošas dzīvojamās ēkas - vai tas ir pietiekams.</w:t>
            </w:r>
          </w:p>
          <w:p w:rsidR="00C82969" w:rsidRDefault="00C82969" w:rsidP="009959C8">
            <w:pPr>
              <w:jc w:val="both"/>
              <w:rPr>
                <w:sz w:val="20"/>
                <w:szCs w:val="20"/>
              </w:rPr>
            </w:pPr>
            <w:r w:rsidRPr="00C06114">
              <w:rPr>
                <w:sz w:val="20"/>
                <w:szCs w:val="20"/>
              </w:rPr>
              <w:t xml:space="preserve">Lai gan tiešā ieejas tuvumā paredzēta </w:t>
            </w:r>
            <w:proofErr w:type="spellStart"/>
            <w:r w:rsidRPr="00C06114">
              <w:rPr>
                <w:sz w:val="20"/>
                <w:szCs w:val="20"/>
              </w:rPr>
              <w:t>velonovietne</w:t>
            </w:r>
            <w:proofErr w:type="spellEnd"/>
            <w:r w:rsidRPr="00C06114">
              <w:rPr>
                <w:sz w:val="20"/>
                <w:szCs w:val="20"/>
              </w:rPr>
              <w:t>, nav risināts, kā velosipēdisti līdz tai aizbrauks, jo veloceliņš konsekventi virzīts skolai garām, tai nepieslēdzoties, bet gājēju celiņi projektēti pārāk šauri, lai tos koplietotu ar velosipēdistiem.</w:t>
            </w:r>
          </w:p>
          <w:p w:rsidR="00C82969" w:rsidRPr="00E8076B" w:rsidRDefault="00C82969" w:rsidP="009959C8">
            <w:pPr>
              <w:jc w:val="both"/>
              <w:rPr>
                <w:sz w:val="20"/>
                <w:szCs w:val="20"/>
              </w:rPr>
            </w:pPr>
            <w:r>
              <w:rPr>
                <w:sz w:val="20"/>
                <w:szCs w:val="20"/>
              </w:rPr>
              <w:t xml:space="preserve">Nepieciešams risināt </w:t>
            </w:r>
            <w:r w:rsidRPr="00C06114">
              <w:rPr>
                <w:sz w:val="20"/>
                <w:szCs w:val="20"/>
              </w:rPr>
              <w:t xml:space="preserve">atkritumu savākšanas transporta </w:t>
            </w:r>
            <w:proofErr w:type="spellStart"/>
            <w:r w:rsidRPr="00C06114">
              <w:rPr>
                <w:sz w:val="20"/>
                <w:szCs w:val="20"/>
              </w:rPr>
              <w:t>līdzkļu</w:t>
            </w:r>
            <w:proofErr w:type="spellEnd"/>
            <w:r w:rsidRPr="00C06114">
              <w:rPr>
                <w:sz w:val="20"/>
                <w:szCs w:val="20"/>
              </w:rPr>
              <w:t xml:space="preserve"> apgriešanos skolas teritorijā, neizmantojot manevrēšanai piebraucamā ceļa platību.</w:t>
            </w:r>
          </w:p>
        </w:tc>
        <w:tc>
          <w:tcPr>
            <w:tcW w:w="3774" w:type="dxa"/>
          </w:tcPr>
          <w:p w:rsidR="006327C9" w:rsidRDefault="006327C9" w:rsidP="009959C8">
            <w:pPr>
              <w:jc w:val="both"/>
              <w:rPr>
                <w:sz w:val="20"/>
                <w:szCs w:val="20"/>
              </w:rPr>
            </w:pPr>
            <w:r w:rsidRPr="00C06114">
              <w:rPr>
                <w:sz w:val="20"/>
                <w:szCs w:val="20"/>
              </w:rPr>
              <w:t xml:space="preserve">Galvenās ieejas orientācija pret Gaujas ielu no vienas puses paaugstina ēkas nozīmi ielas ainavā, bet no otras ievērojami apgrūtina tās funkcionēšanu, ar stāvvietām radot papildus slodzi ielai. Ielas pretējā pusē izvietotās stāvvietas izmantot skolas vajadzībām ir ārkārtīgi neērti. Satiksmes organizācija kvartāla robežās ir tikai aprakstīta. Nav saprotams, kādiem nolūkiem paredzētas kravas, kuru piegādes transportam atvēlētas veselas 5 stāvvietas pie sporta zāles. Nav arī atrisināta eventuālo kravu pārvietošana skolas telpās. Arī invalīdu stāvvietu pie ārējā sporta laukuma saistība ar skolas vajadzībām nav skaidri definēta. </w:t>
            </w:r>
          </w:p>
          <w:p w:rsidR="00415365" w:rsidRPr="00415365" w:rsidRDefault="00415365" w:rsidP="0041536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imes New Roman" w:hAnsi="Times New Roman"/>
                <w:sz w:val="20"/>
                <w:lang w:val="lv-LV"/>
              </w:rPr>
            </w:pPr>
            <w:r w:rsidRPr="00415365">
              <w:rPr>
                <w:rFonts w:ascii="Times New Roman" w:hAnsi="Times New Roman"/>
                <w:sz w:val="20"/>
                <w:lang w:val="lv-LV"/>
              </w:rPr>
              <w:t>Diskutabls jautājums par īslaicīgo auto stāvvietu, kas atrodas abās Gaujas ielas pusēs - pamatskolas audzēknim patstāvīgi jāšķērso iela, ja vecāki tikai izlaiž bērnu pie skolas. Autostāvvietas cilvēkiem ar īpašām vajadzībām novietotas ļoti tālu no centrālās ieejas, blakus apgādes sektoram.</w:t>
            </w:r>
          </w:p>
          <w:p w:rsidR="00415365" w:rsidRPr="00C06114" w:rsidRDefault="00415365" w:rsidP="00415365">
            <w:pPr>
              <w:jc w:val="both"/>
              <w:rPr>
                <w:sz w:val="20"/>
                <w:szCs w:val="20"/>
              </w:rPr>
            </w:pPr>
            <w:r w:rsidRPr="00415365">
              <w:rPr>
                <w:rFonts w:eastAsia="ヒラギノ角ゴ Pro W3"/>
                <w:sz w:val="20"/>
                <w:szCs w:val="20"/>
              </w:rPr>
              <w:t>Grafiski nav attēlota un risināta piegulošā kvartāla autostāvvietu izvietošana.</w:t>
            </w:r>
          </w:p>
        </w:tc>
      </w:tr>
      <w:tr w:rsidR="006327C9" w:rsidRPr="00C06114" w:rsidTr="00EE0B1B">
        <w:trPr>
          <w:trHeight w:val="145"/>
        </w:trPr>
        <w:tc>
          <w:tcPr>
            <w:tcW w:w="1865" w:type="dxa"/>
            <w:shd w:val="clear" w:color="auto" w:fill="EAF1DD" w:themeFill="accent3" w:themeFillTint="33"/>
          </w:tcPr>
          <w:p w:rsidR="006327C9" w:rsidRPr="00982431" w:rsidRDefault="006327C9" w:rsidP="009959C8">
            <w:pPr>
              <w:jc w:val="both"/>
              <w:rPr>
                <w:b/>
                <w:sz w:val="20"/>
                <w:szCs w:val="20"/>
              </w:rPr>
            </w:pPr>
            <w:r w:rsidRPr="00982431">
              <w:rPr>
                <w:b/>
                <w:sz w:val="20"/>
                <w:szCs w:val="20"/>
              </w:rPr>
              <w:t>Ilgtspējīgas teritorijas apsaimniekošanas risinājumi.</w:t>
            </w:r>
          </w:p>
          <w:p w:rsidR="006327C9" w:rsidRPr="00982431" w:rsidRDefault="006327C9" w:rsidP="009959C8">
            <w:pPr>
              <w:jc w:val="both"/>
              <w:rPr>
                <w:b/>
                <w:sz w:val="20"/>
                <w:szCs w:val="20"/>
              </w:rPr>
            </w:pPr>
            <w:r w:rsidRPr="00982431">
              <w:rPr>
                <w:b/>
                <w:sz w:val="20"/>
                <w:szCs w:val="20"/>
              </w:rPr>
              <w:t>Skolas teritorijas pieejamība apkārtējo māju iedzīvotājiem ārpus skolas mācību laika.</w:t>
            </w:r>
          </w:p>
        </w:tc>
        <w:tc>
          <w:tcPr>
            <w:tcW w:w="3868" w:type="dxa"/>
          </w:tcPr>
          <w:p w:rsidR="006327C9" w:rsidRPr="00C06114" w:rsidRDefault="006327C9" w:rsidP="009959C8">
            <w:pPr>
              <w:jc w:val="both"/>
              <w:rPr>
                <w:sz w:val="20"/>
                <w:szCs w:val="20"/>
              </w:rPr>
            </w:pPr>
            <w:r w:rsidRPr="00C06114">
              <w:rPr>
                <w:sz w:val="20"/>
                <w:szCs w:val="20"/>
              </w:rPr>
              <w:t>Nav pietiekami izmantoti ilgtspējīgas vides veidošanas principi, piemēram, lietusūdens uzkrāšanas baseini, kas, papildināti ar izteik</w:t>
            </w:r>
            <w:r w:rsidR="00EE36EF">
              <w:rPr>
                <w:sz w:val="20"/>
                <w:szCs w:val="20"/>
              </w:rPr>
              <w:t>s</w:t>
            </w:r>
            <w:bookmarkStart w:id="0" w:name="_GoBack"/>
            <w:bookmarkEnd w:id="0"/>
            <w:r w:rsidRPr="00C06114">
              <w:rPr>
                <w:sz w:val="20"/>
                <w:szCs w:val="20"/>
              </w:rPr>
              <w:t>mīgiem apzaļumojuma elementiem, varētu kļūt par kvalitatīviem un izglītojošiem vides akcentiem.</w:t>
            </w:r>
          </w:p>
        </w:tc>
        <w:tc>
          <w:tcPr>
            <w:tcW w:w="3774" w:type="dxa"/>
          </w:tcPr>
          <w:p w:rsidR="006327C9" w:rsidRPr="00C06114" w:rsidRDefault="006327C9" w:rsidP="009959C8">
            <w:pPr>
              <w:jc w:val="both"/>
              <w:rPr>
                <w:sz w:val="20"/>
                <w:szCs w:val="20"/>
              </w:rPr>
            </w:pPr>
            <w:r w:rsidRPr="00C06114">
              <w:rPr>
                <w:sz w:val="20"/>
                <w:szCs w:val="20"/>
              </w:rPr>
              <w:t>Vides plānojums paver iespējas ērtai skolas un tās teritorijas labiekārtojuma un sporta laukuma izmantošanai apkārtnes iedzīvotajiem.</w:t>
            </w:r>
          </w:p>
        </w:tc>
      </w:tr>
    </w:tbl>
    <w:p w:rsidR="002437FD" w:rsidRDefault="002437FD" w:rsidP="00C13B77">
      <w:pPr>
        <w:jc w:val="both"/>
      </w:pPr>
    </w:p>
    <w:p w:rsidR="00B4224A" w:rsidRPr="00EE0B1B" w:rsidRDefault="00EE0B1B" w:rsidP="00EE0B1B">
      <w:pPr>
        <w:jc w:val="center"/>
        <w:rPr>
          <w:b/>
        </w:rPr>
      </w:pPr>
      <w:r w:rsidRPr="00EE0B1B">
        <w:rPr>
          <w:b/>
        </w:rPr>
        <w:t>MATEMĀTISKO FORMULU PIEMĒROŠANAS GAITĀ VĒRĀ ŅEMTIE SKAITLISKIE LIELUMI:</w:t>
      </w:r>
    </w:p>
    <w:tbl>
      <w:tblPr>
        <w:tblW w:w="7578"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2F2F2"/>
        <w:tblLook w:val="04A0" w:firstRow="1" w:lastRow="0" w:firstColumn="1" w:lastColumn="0" w:noHBand="0" w:noVBand="1"/>
      </w:tblPr>
      <w:tblGrid>
        <w:gridCol w:w="943"/>
        <w:gridCol w:w="2507"/>
        <w:gridCol w:w="2064"/>
        <w:gridCol w:w="2064"/>
      </w:tblGrid>
      <w:tr w:rsidR="00B4224A" w:rsidRPr="0032466F" w:rsidTr="000F00E7">
        <w:trPr>
          <w:trHeight w:val="134"/>
          <w:jc w:val="center"/>
        </w:trPr>
        <w:tc>
          <w:tcPr>
            <w:tcW w:w="943" w:type="dxa"/>
            <w:tcBorders>
              <w:bottom w:val="single" w:sz="12" w:space="0" w:color="auto"/>
            </w:tcBorders>
            <w:shd w:val="clear" w:color="auto" w:fill="C2D69B" w:themeFill="accent3" w:themeFillTint="99"/>
            <w:vAlign w:val="center"/>
          </w:tcPr>
          <w:p w:rsidR="00B4224A" w:rsidRPr="0032466F" w:rsidRDefault="00B4224A" w:rsidP="009959C8">
            <w:pPr>
              <w:pStyle w:val="ListParagraph"/>
              <w:spacing w:before="60" w:after="60"/>
              <w:ind w:left="0"/>
              <w:jc w:val="center"/>
              <w:rPr>
                <w:rFonts w:ascii="Times New Roman Bold" w:eastAsia="Times New Roman Bold" w:hAnsi="Times New Roman Bold" w:cs="Times New Roman Bold"/>
              </w:rPr>
            </w:pPr>
            <w:proofErr w:type="spellStart"/>
            <w:r w:rsidRPr="0032466F">
              <w:rPr>
                <w:rFonts w:ascii="Times New Roman Bold" w:eastAsia="Times New Roman Bold" w:hAnsi="Times New Roman Bold" w:cs="Times New Roman Bold"/>
              </w:rPr>
              <w:t>Nr.p.k</w:t>
            </w:r>
            <w:proofErr w:type="spellEnd"/>
            <w:r w:rsidRPr="0032466F">
              <w:rPr>
                <w:rFonts w:ascii="Times New Roman Bold" w:eastAsia="Times New Roman Bold" w:hAnsi="Times New Roman Bold" w:cs="Times New Roman Bold"/>
              </w:rPr>
              <w:t>.</w:t>
            </w:r>
          </w:p>
        </w:tc>
        <w:tc>
          <w:tcPr>
            <w:tcW w:w="2507" w:type="dxa"/>
            <w:tcBorders>
              <w:bottom w:val="single" w:sz="12" w:space="0" w:color="auto"/>
            </w:tcBorders>
            <w:shd w:val="clear" w:color="auto" w:fill="C2D69B" w:themeFill="accent3" w:themeFillTint="99"/>
            <w:vAlign w:val="center"/>
          </w:tcPr>
          <w:p w:rsidR="00B4224A" w:rsidRPr="007E1C90" w:rsidRDefault="00B4224A" w:rsidP="009959C8">
            <w:pPr>
              <w:pStyle w:val="ListParagraph"/>
              <w:spacing w:before="60" w:after="60"/>
              <w:ind w:left="0"/>
              <w:jc w:val="center"/>
              <w:rPr>
                <w:rFonts w:eastAsia="Times New Roman Bold"/>
                <w:b/>
              </w:rPr>
            </w:pPr>
            <w:r w:rsidRPr="007E1C90">
              <w:rPr>
                <w:b/>
              </w:rPr>
              <w:t>Metu vērtēšanas kritēriji</w:t>
            </w:r>
          </w:p>
        </w:tc>
        <w:tc>
          <w:tcPr>
            <w:tcW w:w="2064" w:type="dxa"/>
            <w:tcBorders>
              <w:bottom w:val="single" w:sz="12" w:space="0" w:color="auto"/>
            </w:tcBorders>
            <w:shd w:val="clear" w:color="auto" w:fill="EAF1DD" w:themeFill="accent3" w:themeFillTint="33"/>
            <w:vAlign w:val="center"/>
          </w:tcPr>
          <w:p w:rsidR="00B4224A" w:rsidRDefault="00B4224A" w:rsidP="009959C8">
            <w:pPr>
              <w:pStyle w:val="ListParagraph"/>
              <w:spacing w:before="60" w:after="60"/>
              <w:ind w:left="0"/>
              <w:jc w:val="center"/>
              <w:rPr>
                <w:b/>
              </w:rPr>
            </w:pPr>
            <w:r w:rsidRPr="007E1C90">
              <w:rPr>
                <w:b/>
              </w:rPr>
              <w:t>Žūrijas komisijas locekļ</w:t>
            </w:r>
            <w:r>
              <w:rPr>
                <w:b/>
              </w:rPr>
              <w:t>u</w:t>
            </w:r>
            <w:r w:rsidRPr="007E1C90">
              <w:rPr>
                <w:b/>
              </w:rPr>
              <w:t xml:space="preserve"> piešķirtais</w:t>
            </w:r>
          </w:p>
          <w:p w:rsidR="00B4224A" w:rsidRDefault="00B4224A" w:rsidP="009959C8">
            <w:pPr>
              <w:pStyle w:val="ListParagraph"/>
              <w:spacing w:before="60" w:after="60"/>
              <w:ind w:left="0"/>
              <w:jc w:val="center"/>
              <w:rPr>
                <w:b/>
              </w:rPr>
            </w:pPr>
            <w:r>
              <w:rPr>
                <w:b/>
              </w:rPr>
              <w:t>vidējais*</w:t>
            </w:r>
            <w:r w:rsidRPr="007E1C90">
              <w:rPr>
                <w:b/>
              </w:rPr>
              <w:t xml:space="preserve"> vērtējums</w:t>
            </w:r>
          </w:p>
          <w:p w:rsidR="00B4224A" w:rsidRDefault="00B4224A" w:rsidP="009959C8">
            <w:pPr>
              <w:pStyle w:val="ListParagraph"/>
              <w:spacing w:before="60" w:after="60"/>
              <w:ind w:left="0"/>
              <w:rPr>
                <w:b/>
              </w:rPr>
            </w:pPr>
          </w:p>
          <w:tbl>
            <w:tblPr>
              <w:tblStyle w:val="TableGrid"/>
              <w:tblW w:w="1838" w:type="dxa"/>
              <w:tblLook w:val="04A0" w:firstRow="1" w:lastRow="0" w:firstColumn="1" w:lastColumn="0" w:noHBand="0" w:noVBand="1"/>
            </w:tblPr>
            <w:tblGrid>
              <w:gridCol w:w="1838"/>
            </w:tblGrid>
            <w:tr w:rsidR="00B4224A" w:rsidTr="009959C8">
              <w:trPr>
                <w:trHeight w:val="24"/>
              </w:trPr>
              <w:tc>
                <w:tcPr>
                  <w:tcW w:w="1838" w:type="dxa"/>
                  <w:shd w:val="clear" w:color="auto" w:fill="C2D69B" w:themeFill="accent3" w:themeFillTint="99"/>
                </w:tcPr>
                <w:p w:rsidR="00B4224A" w:rsidRDefault="00B4224A" w:rsidP="009959C8">
                  <w:pPr>
                    <w:pStyle w:val="ListParagraph"/>
                    <w:spacing w:before="60" w:after="60"/>
                    <w:ind w:left="0"/>
                    <w:jc w:val="center"/>
                    <w:rPr>
                      <w:b/>
                    </w:rPr>
                  </w:pPr>
                  <w:r>
                    <w:rPr>
                      <w:b/>
                    </w:rPr>
                    <w:lastRenderedPageBreak/>
                    <w:t>LIIN0000</w:t>
                  </w:r>
                </w:p>
              </w:tc>
            </w:tr>
          </w:tbl>
          <w:p w:rsidR="00B4224A" w:rsidRPr="007E1C90" w:rsidRDefault="00B4224A" w:rsidP="000F00E7">
            <w:pPr>
              <w:pStyle w:val="ListParagraph"/>
              <w:spacing w:before="60" w:after="60"/>
              <w:ind w:left="0"/>
              <w:rPr>
                <w:rFonts w:eastAsia="Times New Roman Bold"/>
                <w:b/>
              </w:rPr>
            </w:pPr>
          </w:p>
        </w:tc>
        <w:tc>
          <w:tcPr>
            <w:tcW w:w="2064" w:type="dxa"/>
            <w:tcBorders>
              <w:bottom w:val="single" w:sz="12" w:space="0" w:color="auto"/>
            </w:tcBorders>
            <w:shd w:val="clear" w:color="auto" w:fill="EAF1DD" w:themeFill="accent3" w:themeFillTint="33"/>
            <w:vAlign w:val="center"/>
          </w:tcPr>
          <w:p w:rsidR="00B4224A" w:rsidRDefault="00B4224A" w:rsidP="009959C8">
            <w:pPr>
              <w:pStyle w:val="ListParagraph"/>
              <w:spacing w:before="60" w:after="60"/>
              <w:ind w:left="0"/>
              <w:jc w:val="center"/>
              <w:rPr>
                <w:b/>
              </w:rPr>
            </w:pPr>
            <w:r w:rsidRPr="007E1C90">
              <w:rPr>
                <w:b/>
              </w:rPr>
              <w:lastRenderedPageBreak/>
              <w:t>Žūrijas komisijas locekļ</w:t>
            </w:r>
            <w:r>
              <w:rPr>
                <w:b/>
              </w:rPr>
              <w:t>u</w:t>
            </w:r>
            <w:r w:rsidRPr="007E1C90">
              <w:rPr>
                <w:b/>
              </w:rPr>
              <w:t xml:space="preserve"> piešķirtais </w:t>
            </w:r>
          </w:p>
          <w:p w:rsidR="00B4224A" w:rsidRPr="007E1C90" w:rsidRDefault="00B4224A" w:rsidP="009959C8">
            <w:pPr>
              <w:pStyle w:val="ListParagraph"/>
              <w:spacing w:before="60" w:after="60"/>
              <w:ind w:left="0"/>
              <w:jc w:val="center"/>
              <w:rPr>
                <w:b/>
              </w:rPr>
            </w:pPr>
            <w:r>
              <w:rPr>
                <w:b/>
              </w:rPr>
              <w:t xml:space="preserve">vidējais* </w:t>
            </w:r>
            <w:r w:rsidRPr="007E1C90">
              <w:rPr>
                <w:b/>
              </w:rPr>
              <w:t>vērtējums</w:t>
            </w:r>
          </w:p>
          <w:p w:rsidR="00B4224A" w:rsidRDefault="00B4224A" w:rsidP="009959C8">
            <w:pPr>
              <w:pStyle w:val="ListParagraph"/>
              <w:spacing w:before="60" w:after="60"/>
              <w:ind w:left="0"/>
              <w:rPr>
                <w:b/>
              </w:rPr>
            </w:pPr>
          </w:p>
          <w:tbl>
            <w:tblPr>
              <w:tblStyle w:val="TableGrid"/>
              <w:tblW w:w="1838" w:type="dxa"/>
              <w:tblLook w:val="04A0" w:firstRow="1" w:lastRow="0" w:firstColumn="1" w:lastColumn="0" w:noHBand="0" w:noVBand="1"/>
            </w:tblPr>
            <w:tblGrid>
              <w:gridCol w:w="1838"/>
            </w:tblGrid>
            <w:tr w:rsidR="00B4224A" w:rsidTr="009959C8">
              <w:trPr>
                <w:trHeight w:val="24"/>
              </w:trPr>
              <w:tc>
                <w:tcPr>
                  <w:tcW w:w="1838" w:type="dxa"/>
                  <w:shd w:val="clear" w:color="auto" w:fill="C2D69B" w:themeFill="accent3" w:themeFillTint="99"/>
                </w:tcPr>
                <w:p w:rsidR="00B4224A" w:rsidRDefault="00B4224A" w:rsidP="009959C8">
                  <w:pPr>
                    <w:pStyle w:val="ListParagraph"/>
                    <w:spacing w:before="60" w:after="60"/>
                    <w:ind w:left="0"/>
                    <w:jc w:val="center"/>
                    <w:rPr>
                      <w:b/>
                    </w:rPr>
                  </w:pPr>
                  <w:r>
                    <w:rPr>
                      <w:b/>
                    </w:rPr>
                    <w:lastRenderedPageBreak/>
                    <w:t>ACAB 2017</w:t>
                  </w:r>
                </w:p>
              </w:tc>
            </w:tr>
          </w:tbl>
          <w:p w:rsidR="00B4224A" w:rsidRPr="007E1C90" w:rsidRDefault="00B4224A" w:rsidP="000F00E7">
            <w:pPr>
              <w:pStyle w:val="ListParagraph"/>
              <w:spacing w:before="60" w:after="60"/>
              <w:ind w:left="0"/>
              <w:rPr>
                <w:rFonts w:eastAsia="Times New Roman Bold"/>
                <w:b/>
              </w:rPr>
            </w:pPr>
          </w:p>
        </w:tc>
      </w:tr>
      <w:tr w:rsidR="000F00E7" w:rsidRPr="0032466F" w:rsidTr="00346CDE">
        <w:trPr>
          <w:trHeight w:val="88"/>
          <w:jc w:val="center"/>
        </w:trPr>
        <w:tc>
          <w:tcPr>
            <w:tcW w:w="943" w:type="dxa"/>
            <w:tcBorders>
              <w:top w:val="single" w:sz="4" w:space="0" w:color="auto"/>
              <w:bottom w:val="single" w:sz="4" w:space="0" w:color="auto"/>
            </w:tcBorders>
            <w:shd w:val="clear" w:color="auto" w:fill="EAF1DD" w:themeFill="accent3" w:themeFillTint="33"/>
          </w:tcPr>
          <w:p w:rsidR="000F00E7" w:rsidRPr="0032466F" w:rsidRDefault="000F00E7" w:rsidP="009959C8">
            <w:pPr>
              <w:pStyle w:val="ListParagraph"/>
              <w:spacing w:before="60" w:after="60"/>
              <w:ind w:left="0"/>
              <w:jc w:val="both"/>
              <w:rPr>
                <w:rFonts w:eastAsia="Times New Roman Bold"/>
              </w:rPr>
            </w:pPr>
            <w:r w:rsidRPr="0032466F">
              <w:rPr>
                <w:rFonts w:eastAsia="Times New Roman Bold"/>
              </w:rPr>
              <w:lastRenderedPageBreak/>
              <w:t>3.</w:t>
            </w:r>
          </w:p>
        </w:tc>
        <w:tc>
          <w:tcPr>
            <w:tcW w:w="2507" w:type="dxa"/>
            <w:tcBorders>
              <w:top w:val="single" w:sz="4" w:space="0" w:color="auto"/>
              <w:bottom w:val="single" w:sz="4" w:space="0" w:color="auto"/>
            </w:tcBorders>
            <w:shd w:val="clear" w:color="auto" w:fill="EAF1DD" w:themeFill="accent3" w:themeFillTint="33"/>
          </w:tcPr>
          <w:p w:rsidR="000F00E7" w:rsidRPr="0032466F" w:rsidRDefault="000F00E7" w:rsidP="009959C8">
            <w:pPr>
              <w:pStyle w:val="ListParagraph"/>
              <w:spacing w:before="60" w:after="60"/>
              <w:ind w:left="0"/>
              <w:jc w:val="both"/>
            </w:pPr>
            <w:r w:rsidRPr="0032466F">
              <w:t>Skolas ēkas būvniecības provizoriskās izmaksas, ieskaitot komunikāciju izbūvi un pārbūvi</w:t>
            </w:r>
          </w:p>
        </w:tc>
        <w:tc>
          <w:tcPr>
            <w:tcW w:w="2064" w:type="dxa"/>
            <w:tcBorders>
              <w:top w:val="single" w:sz="4" w:space="0" w:color="auto"/>
              <w:bottom w:val="single" w:sz="4" w:space="0" w:color="auto"/>
            </w:tcBorders>
            <w:shd w:val="clear" w:color="auto" w:fill="C2D69B" w:themeFill="accent3" w:themeFillTint="99"/>
            <w:vAlign w:val="bottom"/>
          </w:tcPr>
          <w:p w:rsidR="000F00E7" w:rsidRPr="000F00E7" w:rsidRDefault="000F00E7" w:rsidP="000F00E7">
            <w:pPr>
              <w:jc w:val="center"/>
              <w:rPr>
                <w:rFonts w:ascii="Calibri" w:eastAsiaTheme="minorHAnsi" w:hAnsi="Calibri"/>
                <w:b/>
                <w:color w:val="000000"/>
                <w:sz w:val="22"/>
                <w:szCs w:val="22"/>
              </w:rPr>
            </w:pPr>
            <w:r w:rsidRPr="000F00E7">
              <w:rPr>
                <w:b/>
                <w:color w:val="000000"/>
              </w:rPr>
              <w:t>6 999 338,76</w:t>
            </w:r>
          </w:p>
        </w:tc>
        <w:tc>
          <w:tcPr>
            <w:tcW w:w="2064" w:type="dxa"/>
            <w:tcBorders>
              <w:top w:val="single" w:sz="4" w:space="0" w:color="auto"/>
              <w:bottom w:val="single" w:sz="4" w:space="0" w:color="auto"/>
            </w:tcBorders>
            <w:shd w:val="clear" w:color="auto" w:fill="C2D69B" w:themeFill="accent3" w:themeFillTint="99"/>
            <w:vAlign w:val="bottom"/>
          </w:tcPr>
          <w:p w:rsidR="000F00E7" w:rsidRPr="000F00E7" w:rsidRDefault="000F00E7" w:rsidP="000F00E7">
            <w:pPr>
              <w:jc w:val="center"/>
              <w:rPr>
                <w:rFonts w:ascii="Calibri" w:eastAsiaTheme="minorHAnsi" w:hAnsi="Calibri"/>
                <w:b/>
                <w:color w:val="000000"/>
                <w:sz w:val="22"/>
                <w:szCs w:val="22"/>
              </w:rPr>
            </w:pPr>
            <w:r w:rsidRPr="000F00E7">
              <w:rPr>
                <w:b/>
                <w:color w:val="000000"/>
              </w:rPr>
              <w:t>6 502 487,27</w:t>
            </w:r>
          </w:p>
        </w:tc>
      </w:tr>
      <w:tr w:rsidR="000F00E7" w:rsidRPr="0032466F" w:rsidTr="00A570D5">
        <w:trPr>
          <w:trHeight w:val="88"/>
          <w:jc w:val="center"/>
        </w:trPr>
        <w:tc>
          <w:tcPr>
            <w:tcW w:w="943" w:type="dxa"/>
            <w:tcBorders>
              <w:top w:val="single" w:sz="4" w:space="0" w:color="auto"/>
              <w:bottom w:val="single" w:sz="4" w:space="0" w:color="auto"/>
            </w:tcBorders>
            <w:shd w:val="clear" w:color="auto" w:fill="EAF1DD" w:themeFill="accent3" w:themeFillTint="33"/>
          </w:tcPr>
          <w:p w:rsidR="000F00E7" w:rsidRPr="0032466F" w:rsidRDefault="000F00E7" w:rsidP="009959C8">
            <w:pPr>
              <w:pStyle w:val="ListParagraph"/>
              <w:spacing w:before="60" w:after="60"/>
              <w:ind w:left="0"/>
              <w:jc w:val="both"/>
              <w:rPr>
                <w:rFonts w:eastAsia="Times New Roman Bold"/>
              </w:rPr>
            </w:pPr>
            <w:r w:rsidRPr="0032466F">
              <w:rPr>
                <w:rFonts w:eastAsia="Times New Roman Bold"/>
              </w:rPr>
              <w:t>4.</w:t>
            </w:r>
          </w:p>
        </w:tc>
        <w:tc>
          <w:tcPr>
            <w:tcW w:w="2507" w:type="dxa"/>
            <w:tcBorders>
              <w:top w:val="single" w:sz="4" w:space="0" w:color="auto"/>
              <w:bottom w:val="single" w:sz="4" w:space="0" w:color="auto"/>
            </w:tcBorders>
            <w:shd w:val="clear" w:color="auto" w:fill="EAF1DD" w:themeFill="accent3" w:themeFillTint="33"/>
          </w:tcPr>
          <w:p w:rsidR="000F00E7" w:rsidRPr="0032466F" w:rsidRDefault="000F00E7" w:rsidP="009959C8">
            <w:pPr>
              <w:pStyle w:val="ListParagraph"/>
              <w:spacing w:before="60" w:after="60"/>
              <w:ind w:left="0"/>
              <w:jc w:val="both"/>
              <w:rPr>
                <w:rFonts w:eastAsia="Times New Roman Bold"/>
              </w:rPr>
            </w:pPr>
            <w:r w:rsidRPr="0032466F">
              <w:t>Piedāvātā būvprojekta izstrādes un autoruzraudzības līgumcena</w:t>
            </w:r>
          </w:p>
        </w:tc>
        <w:tc>
          <w:tcPr>
            <w:tcW w:w="2064" w:type="dxa"/>
            <w:tcBorders>
              <w:top w:val="single" w:sz="4" w:space="0" w:color="auto"/>
              <w:bottom w:val="single" w:sz="4" w:space="0" w:color="auto"/>
            </w:tcBorders>
            <w:shd w:val="clear" w:color="auto" w:fill="C2D69B" w:themeFill="accent3" w:themeFillTint="99"/>
            <w:vAlign w:val="bottom"/>
          </w:tcPr>
          <w:p w:rsidR="000F00E7" w:rsidRPr="000F00E7" w:rsidRDefault="000F00E7">
            <w:pPr>
              <w:jc w:val="center"/>
              <w:rPr>
                <w:rFonts w:ascii="Calibri" w:eastAsiaTheme="minorHAnsi" w:hAnsi="Calibri"/>
                <w:b/>
                <w:color w:val="000000"/>
                <w:sz w:val="22"/>
                <w:szCs w:val="22"/>
              </w:rPr>
            </w:pPr>
            <w:r w:rsidRPr="000F00E7">
              <w:rPr>
                <w:b/>
                <w:color w:val="000000"/>
              </w:rPr>
              <w:t>351 310,00</w:t>
            </w:r>
          </w:p>
        </w:tc>
        <w:tc>
          <w:tcPr>
            <w:tcW w:w="2064" w:type="dxa"/>
            <w:tcBorders>
              <w:top w:val="single" w:sz="4" w:space="0" w:color="auto"/>
              <w:bottom w:val="single" w:sz="4" w:space="0" w:color="auto"/>
            </w:tcBorders>
            <w:shd w:val="clear" w:color="auto" w:fill="C2D69B" w:themeFill="accent3" w:themeFillTint="99"/>
            <w:vAlign w:val="bottom"/>
          </w:tcPr>
          <w:p w:rsidR="000F00E7" w:rsidRPr="000F00E7" w:rsidRDefault="000F00E7">
            <w:pPr>
              <w:jc w:val="center"/>
              <w:rPr>
                <w:rFonts w:ascii="Calibri" w:eastAsiaTheme="minorHAnsi" w:hAnsi="Calibri"/>
                <w:b/>
                <w:color w:val="000000"/>
                <w:sz w:val="22"/>
                <w:szCs w:val="22"/>
              </w:rPr>
            </w:pPr>
            <w:r w:rsidRPr="000F00E7">
              <w:rPr>
                <w:b/>
                <w:color w:val="000000"/>
              </w:rPr>
              <w:t>424 000,00</w:t>
            </w:r>
          </w:p>
        </w:tc>
      </w:tr>
      <w:tr w:rsidR="00EE0B1B" w:rsidRPr="0032466F" w:rsidTr="006A45A4">
        <w:trPr>
          <w:trHeight w:val="65"/>
          <w:jc w:val="center"/>
        </w:trPr>
        <w:tc>
          <w:tcPr>
            <w:tcW w:w="943" w:type="dxa"/>
            <w:tcBorders>
              <w:top w:val="single" w:sz="4" w:space="0" w:color="auto"/>
              <w:bottom w:val="single" w:sz="4" w:space="0" w:color="auto"/>
            </w:tcBorders>
            <w:shd w:val="clear" w:color="auto" w:fill="EAF1DD" w:themeFill="accent3" w:themeFillTint="33"/>
          </w:tcPr>
          <w:p w:rsidR="00EE0B1B" w:rsidRPr="0032466F" w:rsidRDefault="00EE0B1B" w:rsidP="009959C8">
            <w:pPr>
              <w:pStyle w:val="ListParagraph"/>
              <w:spacing w:before="60" w:after="60"/>
              <w:ind w:left="0"/>
              <w:jc w:val="both"/>
              <w:rPr>
                <w:rFonts w:eastAsia="Times New Roman Bold"/>
              </w:rPr>
            </w:pPr>
            <w:r w:rsidRPr="0032466F">
              <w:rPr>
                <w:rFonts w:eastAsia="Times New Roman Bold"/>
              </w:rPr>
              <w:t>6.</w:t>
            </w:r>
          </w:p>
        </w:tc>
        <w:tc>
          <w:tcPr>
            <w:tcW w:w="2507" w:type="dxa"/>
            <w:tcBorders>
              <w:top w:val="single" w:sz="4" w:space="0" w:color="auto"/>
              <w:bottom w:val="single" w:sz="4" w:space="0" w:color="auto"/>
            </w:tcBorders>
            <w:shd w:val="clear" w:color="auto" w:fill="EAF1DD" w:themeFill="accent3" w:themeFillTint="33"/>
          </w:tcPr>
          <w:p w:rsidR="00EE0B1B" w:rsidRPr="0032466F" w:rsidRDefault="00EE0B1B" w:rsidP="009959C8">
            <w:pPr>
              <w:pStyle w:val="ListParagraph"/>
              <w:spacing w:before="60" w:after="60"/>
              <w:ind w:left="0"/>
              <w:jc w:val="both"/>
              <w:rPr>
                <w:rFonts w:eastAsia="Times New Roman Bold"/>
              </w:rPr>
            </w:pPr>
            <w:r w:rsidRPr="0032466F">
              <w:t>Skolas ēkas kopējais telpu apjoms</w:t>
            </w:r>
          </w:p>
        </w:tc>
        <w:tc>
          <w:tcPr>
            <w:tcW w:w="2064" w:type="dxa"/>
            <w:tcBorders>
              <w:top w:val="single" w:sz="4" w:space="0" w:color="auto"/>
              <w:bottom w:val="single" w:sz="4" w:space="0" w:color="auto"/>
            </w:tcBorders>
            <w:shd w:val="clear" w:color="auto" w:fill="C2D69B" w:themeFill="accent3" w:themeFillTint="99"/>
            <w:vAlign w:val="bottom"/>
          </w:tcPr>
          <w:p w:rsidR="00EE0B1B" w:rsidRPr="00EE0B1B" w:rsidRDefault="00EE0B1B">
            <w:pPr>
              <w:jc w:val="center"/>
              <w:rPr>
                <w:rFonts w:ascii="Calibri" w:eastAsiaTheme="minorHAnsi" w:hAnsi="Calibri"/>
                <w:b/>
                <w:color w:val="000000"/>
                <w:sz w:val="22"/>
                <w:szCs w:val="22"/>
              </w:rPr>
            </w:pPr>
            <w:r w:rsidRPr="00EE0B1B">
              <w:rPr>
                <w:b/>
                <w:color w:val="000000"/>
              </w:rPr>
              <w:t>32 553</w:t>
            </w:r>
          </w:p>
        </w:tc>
        <w:tc>
          <w:tcPr>
            <w:tcW w:w="2064" w:type="dxa"/>
            <w:tcBorders>
              <w:top w:val="single" w:sz="4" w:space="0" w:color="auto"/>
              <w:bottom w:val="single" w:sz="4" w:space="0" w:color="auto"/>
            </w:tcBorders>
            <w:shd w:val="clear" w:color="auto" w:fill="C2D69B" w:themeFill="accent3" w:themeFillTint="99"/>
            <w:vAlign w:val="bottom"/>
          </w:tcPr>
          <w:p w:rsidR="00EE0B1B" w:rsidRPr="00EE0B1B" w:rsidRDefault="00EE0B1B">
            <w:pPr>
              <w:jc w:val="center"/>
              <w:rPr>
                <w:rFonts w:ascii="Calibri" w:eastAsiaTheme="minorHAnsi" w:hAnsi="Calibri"/>
                <w:b/>
                <w:color w:val="000000"/>
                <w:sz w:val="22"/>
                <w:szCs w:val="22"/>
              </w:rPr>
            </w:pPr>
            <w:r w:rsidRPr="00EE0B1B">
              <w:rPr>
                <w:b/>
                <w:color w:val="000000"/>
              </w:rPr>
              <w:t>53 857</w:t>
            </w:r>
          </w:p>
        </w:tc>
      </w:tr>
      <w:tr w:rsidR="00EE0B1B" w:rsidRPr="0032466F" w:rsidTr="006C54E7">
        <w:trPr>
          <w:trHeight w:val="67"/>
          <w:jc w:val="center"/>
        </w:trPr>
        <w:tc>
          <w:tcPr>
            <w:tcW w:w="943" w:type="dxa"/>
            <w:tcBorders>
              <w:top w:val="single" w:sz="4" w:space="0" w:color="auto"/>
              <w:bottom w:val="single" w:sz="12" w:space="0" w:color="auto"/>
            </w:tcBorders>
            <w:shd w:val="clear" w:color="auto" w:fill="EAF1DD" w:themeFill="accent3" w:themeFillTint="33"/>
          </w:tcPr>
          <w:p w:rsidR="00EE0B1B" w:rsidRPr="0032466F" w:rsidRDefault="00EE0B1B" w:rsidP="009959C8">
            <w:pPr>
              <w:pStyle w:val="ListParagraph"/>
              <w:spacing w:before="60" w:after="60"/>
              <w:ind w:left="0"/>
              <w:jc w:val="both"/>
              <w:rPr>
                <w:rFonts w:eastAsia="Times New Roman Bold"/>
              </w:rPr>
            </w:pPr>
            <w:r w:rsidRPr="0032466F">
              <w:rPr>
                <w:rFonts w:eastAsia="Times New Roman Bold"/>
              </w:rPr>
              <w:t>8.</w:t>
            </w:r>
          </w:p>
        </w:tc>
        <w:tc>
          <w:tcPr>
            <w:tcW w:w="2507" w:type="dxa"/>
            <w:tcBorders>
              <w:top w:val="single" w:sz="4" w:space="0" w:color="auto"/>
              <w:bottom w:val="single" w:sz="12" w:space="0" w:color="auto"/>
            </w:tcBorders>
            <w:shd w:val="clear" w:color="auto" w:fill="EAF1DD" w:themeFill="accent3" w:themeFillTint="33"/>
          </w:tcPr>
          <w:p w:rsidR="00EE0B1B" w:rsidRPr="0032466F" w:rsidRDefault="00EE0B1B" w:rsidP="009959C8">
            <w:pPr>
              <w:pStyle w:val="ListParagraph"/>
              <w:spacing w:before="60" w:after="60"/>
              <w:ind w:left="0"/>
              <w:jc w:val="both"/>
              <w:rPr>
                <w:rFonts w:eastAsia="Times New Roman Bold"/>
              </w:rPr>
            </w:pPr>
            <w:r w:rsidRPr="0032466F">
              <w:t>Skolas ēkas būvprojekta izstrādes termiņš</w:t>
            </w:r>
            <w:r>
              <w:t xml:space="preserve"> (dienās)</w:t>
            </w:r>
          </w:p>
        </w:tc>
        <w:tc>
          <w:tcPr>
            <w:tcW w:w="2064" w:type="dxa"/>
            <w:tcBorders>
              <w:top w:val="single" w:sz="4" w:space="0" w:color="auto"/>
              <w:bottom w:val="single" w:sz="12" w:space="0" w:color="auto"/>
            </w:tcBorders>
            <w:shd w:val="clear" w:color="auto" w:fill="C2D69B" w:themeFill="accent3" w:themeFillTint="99"/>
            <w:vAlign w:val="bottom"/>
          </w:tcPr>
          <w:p w:rsidR="00EE0B1B" w:rsidRPr="00EE0B1B" w:rsidRDefault="00EE0B1B">
            <w:pPr>
              <w:jc w:val="center"/>
              <w:rPr>
                <w:rFonts w:ascii="Calibri" w:eastAsiaTheme="minorHAnsi" w:hAnsi="Calibri"/>
                <w:b/>
                <w:color w:val="000000"/>
                <w:sz w:val="22"/>
                <w:szCs w:val="22"/>
              </w:rPr>
            </w:pPr>
            <w:r w:rsidRPr="00EE0B1B">
              <w:rPr>
                <w:b/>
                <w:color w:val="000000"/>
              </w:rPr>
              <w:t>243</w:t>
            </w:r>
          </w:p>
        </w:tc>
        <w:tc>
          <w:tcPr>
            <w:tcW w:w="2064" w:type="dxa"/>
            <w:tcBorders>
              <w:top w:val="single" w:sz="4" w:space="0" w:color="auto"/>
              <w:bottom w:val="single" w:sz="12" w:space="0" w:color="auto"/>
            </w:tcBorders>
            <w:shd w:val="clear" w:color="auto" w:fill="C2D69B" w:themeFill="accent3" w:themeFillTint="99"/>
            <w:vAlign w:val="bottom"/>
          </w:tcPr>
          <w:p w:rsidR="00EE0B1B" w:rsidRPr="00EE0B1B" w:rsidRDefault="00EE0B1B">
            <w:pPr>
              <w:jc w:val="center"/>
              <w:rPr>
                <w:rFonts w:ascii="Calibri" w:eastAsiaTheme="minorHAnsi" w:hAnsi="Calibri"/>
                <w:b/>
                <w:color w:val="000000"/>
                <w:sz w:val="22"/>
                <w:szCs w:val="22"/>
              </w:rPr>
            </w:pPr>
            <w:r w:rsidRPr="00EE0B1B">
              <w:rPr>
                <w:b/>
                <w:color w:val="000000"/>
              </w:rPr>
              <w:t>304</w:t>
            </w:r>
          </w:p>
        </w:tc>
      </w:tr>
      <w:tr w:rsidR="00B4224A" w:rsidRPr="0032466F" w:rsidTr="000F00E7">
        <w:trPr>
          <w:trHeight w:val="45"/>
          <w:jc w:val="center"/>
        </w:trPr>
        <w:tc>
          <w:tcPr>
            <w:tcW w:w="943" w:type="dxa"/>
            <w:tcBorders>
              <w:top w:val="single" w:sz="12" w:space="0" w:color="auto"/>
            </w:tcBorders>
            <w:shd w:val="clear" w:color="auto" w:fill="EAF1DD" w:themeFill="accent3" w:themeFillTint="33"/>
          </w:tcPr>
          <w:p w:rsidR="00B4224A" w:rsidRPr="0032466F" w:rsidRDefault="00B4224A" w:rsidP="009959C8">
            <w:pPr>
              <w:pStyle w:val="ListParagraph"/>
              <w:spacing w:before="60" w:after="60"/>
              <w:ind w:left="0"/>
              <w:jc w:val="both"/>
              <w:rPr>
                <w:rFonts w:eastAsia="Times New Roman Bold"/>
                <w:b/>
              </w:rPr>
            </w:pPr>
          </w:p>
        </w:tc>
        <w:tc>
          <w:tcPr>
            <w:tcW w:w="2507" w:type="dxa"/>
            <w:tcBorders>
              <w:top w:val="single" w:sz="12" w:space="0" w:color="auto"/>
            </w:tcBorders>
            <w:shd w:val="clear" w:color="auto" w:fill="C2D69B" w:themeFill="accent3" w:themeFillTint="99"/>
          </w:tcPr>
          <w:p w:rsidR="00B4224A" w:rsidRPr="005A7197" w:rsidRDefault="00B4224A" w:rsidP="009959C8">
            <w:pPr>
              <w:pStyle w:val="ListParagraph"/>
              <w:spacing w:before="60" w:after="60"/>
              <w:ind w:left="0"/>
              <w:jc w:val="both"/>
              <w:rPr>
                <w:rFonts w:eastAsia="Times New Roman Bold"/>
                <w:b/>
              </w:rPr>
            </w:pPr>
            <w:r>
              <w:rPr>
                <w:b/>
              </w:rPr>
              <w:t>Kopējais</w:t>
            </w:r>
            <w:r w:rsidRPr="005A7197">
              <w:rPr>
                <w:b/>
              </w:rPr>
              <w:t xml:space="preserve"> punktu skaits kopā:</w:t>
            </w:r>
          </w:p>
        </w:tc>
        <w:tc>
          <w:tcPr>
            <w:tcW w:w="2064" w:type="dxa"/>
            <w:tcBorders>
              <w:top w:val="single" w:sz="12" w:space="0" w:color="auto"/>
            </w:tcBorders>
            <w:shd w:val="clear" w:color="auto" w:fill="76923C" w:themeFill="accent3" w:themeFillShade="BF"/>
          </w:tcPr>
          <w:p w:rsidR="00B4224A" w:rsidRPr="00572120" w:rsidRDefault="00B4224A" w:rsidP="009959C8">
            <w:pPr>
              <w:pStyle w:val="ListParagraph"/>
              <w:spacing w:before="60" w:after="60"/>
              <w:ind w:left="0"/>
              <w:jc w:val="center"/>
              <w:rPr>
                <w:rFonts w:eastAsia="Times New Roman Bold"/>
                <w:b/>
                <w:sz w:val="28"/>
                <w:szCs w:val="28"/>
              </w:rPr>
            </w:pPr>
            <w:r w:rsidRPr="00572120">
              <w:rPr>
                <w:rFonts w:eastAsia="Times New Roman Bold"/>
                <w:b/>
                <w:sz w:val="28"/>
                <w:szCs w:val="28"/>
              </w:rPr>
              <w:t>87,04</w:t>
            </w:r>
          </w:p>
          <w:p w:rsidR="00B4224A" w:rsidRPr="00572120" w:rsidRDefault="00B4224A" w:rsidP="009959C8">
            <w:pPr>
              <w:pStyle w:val="ListParagraph"/>
              <w:spacing w:before="60" w:after="60"/>
              <w:ind w:left="0"/>
              <w:jc w:val="center"/>
              <w:rPr>
                <w:rFonts w:eastAsia="Times New Roman Bold"/>
                <w:b/>
                <w:sz w:val="28"/>
                <w:szCs w:val="28"/>
              </w:rPr>
            </w:pPr>
          </w:p>
        </w:tc>
        <w:tc>
          <w:tcPr>
            <w:tcW w:w="2064" w:type="dxa"/>
            <w:tcBorders>
              <w:top w:val="single" w:sz="12" w:space="0" w:color="auto"/>
            </w:tcBorders>
            <w:shd w:val="clear" w:color="auto" w:fill="76923C" w:themeFill="accent3" w:themeFillShade="BF"/>
          </w:tcPr>
          <w:p w:rsidR="00B4224A" w:rsidRPr="00572120" w:rsidRDefault="00B4224A" w:rsidP="009959C8">
            <w:pPr>
              <w:pStyle w:val="ListParagraph"/>
              <w:spacing w:before="60" w:after="60"/>
              <w:ind w:left="0"/>
              <w:jc w:val="center"/>
              <w:rPr>
                <w:rFonts w:eastAsia="Times New Roman Bold"/>
                <w:b/>
                <w:sz w:val="28"/>
                <w:szCs w:val="28"/>
              </w:rPr>
            </w:pPr>
            <w:r w:rsidRPr="00572120">
              <w:rPr>
                <w:rFonts w:eastAsia="Times New Roman Bold"/>
                <w:b/>
                <w:sz w:val="28"/>
                <w:szCs w:val="28"/>
              </w:rPr>
              <w:t>56,16</w:t>
            </w:r>
          </w:p>
          <w:p w:rsidR="00B4224A" w:rsidRPr="00572120" w:rsidRDefault="00B4224A" w:rsidP="009959C8">
            <w:pPr>
              <w:pStyle w:val="ListParagraph"/>
              <w:spacing w:before="60" w:after="60"/>
              <w:ind w:left="0"/>
              <w:jc w:val="center"/>
              <w:rPr>
                <w:rFonts w:eastAsia="Times New Roman Bold"/>
                <w:b/>
                <w:sz w:val="28"/>
                <w:szCs w:val="28"/>
              </w:rPr>
            </w:pPr>
          </w:p>
        </w:tc>
      </w:tr>
    </w:tbl>
    <w:p w:rsidR="00B4224A" w:rsidRPr="002437FD" w:rsidRDefault="00B4224A" w:rsidP="00C13B77">
      <w:pPr>
        <w:jc w:val="both"/>
      </w:pPr>
    </w:p>
    <w:p w:rsidR="00BD72D6" w:rsidRDefault="00BD72D6" w:rsidP="00C13B77">
      <w:pPr>
        <w:jc w:val="both"/>
        <w:rPr>
          <w:highlight w:val="yellow"/>
        </w:rPr>
      </w:pPr>
    </w:p>
    <w:p w:rsidR="00C13B77" w:rsidRPr="00C13B77" w:rsidRDefault="00C13B77" w:rsidP="001A4165">
      <w:pPr>
        <w:pStyle w:val="ListParagraph"/>
        <w:numPr>
          <w:ilvl w:val="0"/>
          <w:numId w:val="3"/>
        </w:numPr>
        <w:shd w:val="clear" w:color="auto" w:fill="C2D69B" w:themeFill="accent3" w:themeFillTint="99"/>
        <w:jc w:val="center"/>
        <w:rPr>
          <w:b/>
        </w:rPr>
      </w:pPr>
      <w:r>
        <w:rPr>
          <w:b/>
        </w:rPr>
        <w:t>Lēmums par godalgu sadalījumu</w:t>
      </w:r>
      <w:r w:rsidRPr="00C13B77">
        <w:rPr>
          <w:b/>
        </w:rPr>
        <w:t>:</w:t>
      </w:r>
    </w:p>
    <w:p w:rsidR="000F6FB9" w:rsidRDefault="00693DC2" w:rsidP="00F841C7">
      <w:pPr>
        <w:jc w:val="both"/>
      </w:pPr>
      <w:r w:rsidRPr="00771E98">
        <w:rPr>
          <w:b/>
        </w:rPr>
        <w:t>Pirmā vieta</w:t>
      </w:r>
      <w:r w:rsidRPr="00A82DB2">
        <w:t xml:space="preserve"> piešķirama Konkursa dalībniekam ar devīzi – </w:t>
      </w:r>
      <w:r w:rsidRPr="00FD00B3">
        <w:rPr>
          <w:b/>
        </w:rPr>
        <w:t>LIIN0000</w:t>
      </w:r>
      <w:r w:rsidR="00642F3F">
        <w:rPr>
          <w:b/>
        </w:rPr>
        <w:t>.</w:t>
      </w:r>
    </w:p>
    <w:p w:rsidR="00693DC2" w:rsidRDefault="00693DC2" w:rsidP="00F841C7">
      <w:pPr>
        <w:jc w:val="both"/>
      </w:pPr>
      <w:r w:rsidRPr="00A82DB2">
        <w:t>Kopējais iegūtu punktu skaits atbilstoši Konkursa nolikuma 6.5.punktā noteiktajai izvērtēšanas kārtībai – 87,04 punkti. Saskaņā ar nolikuma 5.5.punktā noteikto - piešķiramā godalga – tiesības piedalīties sarunu procedūrā par projektēšana</w:t>
      </w:r>
      <w:r>
        <w:t xml:space="preserve">s pakalpojumu līguma noslēgšanu. </w:t>
      </w:r>
    </w:p>
    <w:p w:rsidR="00693DC2" w:rsidRDefault="00693DC2" w:rsidP="00F841C7">
      <w:pPr>
        <w:jc w:val="both"/>
      </w:pPr>
    </w:p>
    <w:p w:rsidR="000F6FB9" w:rsidRDefault="00693DC2" w:rsidP="00F841C7">
      <w:pPr>
        <w:jc w:val="both"/>
      </w:pPr>
      <w:r w:rsidRPr="00771E98">
        <w:rPr>
          <w:b/>
        </w:rPr>
        <w:t>Otrā vieta</w:t>
      </w:r>
      <w:r w:rsidRPr="00A82DB2">
        <w:t xml:space="preserve"> piešķirama Konkursa dalībniekam ar devīzi – </w:t>
      </w:r>
      <w:r w:rsidRPr="00FD00B3">
        <w:rPr>
          <w:b/>
        </w:rPr>
        <w:t>ACAB2017</w:t>
      </w:r>
      <w:r w:rsidRPr="00A82DB2">
        <w:t xml:space="preserve">. </w:t>
      </w:r>
    </w:p>
    <w:p w:rsidR="00693DC2" w:rsidRPr="00A82DB2" w:rsidRDefault="00693DC2" w:rsidP="00F841C7">
      <w:pPr>
        <w:jc w:val="both"/>
      </w:pPr>
      <w:r w:rsidRPr="00A82DB2">
        <w:t xml:space="preserve">Kopējais iegūtu punktu skaits atbilstoši Konkursa nolikuma 6.5.punktā noteiktajai izvērtēšanas kārtībai – 56,16 punkti. Saskaņā ar nolikuma 5.5.punktā noteikto - piešķiramā godalga – 4000 </w:t>
      </w:r>
      <w:proofErr w:type="spellStart"/>
      <w:r w:rsidRPr="00A82DB2">
        <w:t>euro</w:t>
      </w:r>
      <w:proofErr w:type="spellEnd"/>
      <w:r w:rsidRPr="00A82DB2">
        <w:t>.</w:t>
      </w:r>
    </w:p>
    <w:p w:rsidR="00C13B77" w:rsidRDefault="00C13B77" w:rsidP="00F841C7">
      <w:pPr>
        <w:jc w:val="both"/>
      </w:pPr>
    </w:p>
    <w:p w:rsidR="00C13B77" w:rsidRPr="00C13B77" w:rsidRDefault="00693DC2" w:rsidP="001A4165">
      <w:pPr>
        <w:pStyle w:val="ListParagraph"/>
        <w:numPr>
          <w:ilvl w:val="0"/>
          <w:numId w:val="3"/>
        </w:numPr>
        <w:shd w:val="clear" w:color="auto" w:fill="C2D69B" w:themeFill="accent3" w:themeFillTint="99"/>
        <w:ind w:left="0" w:firstLine="0"/>
        <w:jc w:val="center"/>
        <w:rPr>
          <w:b/>
        </w:rPr>
      </w:pPr>
      <w:r>
        <w:rPr>
          <w:b/>
        </w:rPr>
        <w:t>Ieteikumi par metu turpmāko izmantošanu</w:t>
      </w:r>
    </w:p>
    <w:p w:rsidR="00C13B77" w:rsidRDefault="00081EAB" w:rsidP="00C13B77">
      <w:pPr>
        <w:jc w:val="both"/>
      </w:pPr>
      <w:r>
        <w:t xml:space="preserve">Atbilstoši Publisko iepirkumu likuma 63.panta trešajā daļā noteiktajam, kā arī saskaņā ar Konkursa nolikuma </w:t>
      </w:r>
      <w:r w:rsidR="002B59C4">
        <w:t>5.4.punktam a</w:t>
      </w:r>
      <w:r w:rsidR="00F841C7">
        <w:t xml:space="preserve">icināt piedalīties sarunu procedūrā </w:t>
      </w:r>
      <w:r w:rsidR="00F841C7" w:rsidRPr="00B55CD3">
        <w:t>par</w:t>
      </w:r>
      <w:r w:rsidR="00F841C7">
        <w:t xml:space="preserve"> projektēšanas līguma slēgšanu p</w:t>
      </w:r>
      <w:r w:rsidR="00B55CD3" w:rsidRPr="00B55CD3">
        <w:t>irmās vietas ieguvēj</w:t>
      </w:r>
      <w:r w:rsidR="00F841C7">
        <w:t>u</w:t>
      </w:r>
      <w:r w:rsidR="00B55CD3" w:rsidRPr="00B55CD3">
        <w:t xml:space="preserve"> </w:t>
      </w:r>
      <w:r w:rsidR="00642F3F">
        <w:t>–</w:t>
      </w:r>
      <w:r w:rsidR="00B55CD3" w:rsidRPr="00B55CD3">
        <w:t xml:space="preserve"> </w:t>
      </w:r>
      <w:r w:rsidR="00642F3F">
        <w:rPr>
          <w:b/>
        </w:rPr>
        <w:t>dalībnieku</w:t>
      </w:r>
      <w:r w:rsidR="00642F3F" w:rsidRPr="00642F3F">
        <w:t xml:space="preserve"> </w:t>
      </w:r>
      <w:r w:rsidR="00642F3F" w:rsidRPr="00642F3F">
        <w:rPr>
          <w:b/>
        </w:rPr>
        <w:t>ar devīzi</w:t>
      </w:r>
      <w:r w:rsidR="00642F3F" w:rsidRPr="00A82DB2">
        <w:t xml:space="preserve"> – </w:t>
      </w:r>
      <w:r w:rsidR="00642F3F" w:rsidRPr="00FD00B3">
        <w:rPr>
          <w:b/>
        </w:rPr>
        <w:t>LIIN0000</w:t>
      </w:r>
      <w:r w:rsidR="00642F3F">
        <w:rPr>
          <w:b/>
        </w:rPr>
        <w:t>.</w:t>
      </w:r>
      <w:r w:rsidR="00F841C7">
        <w:t xml:space="preserve"> </w:t>
      </w:r>
      <w:r w:rsidR="002B59C4">
        <w:t xml:space="preserve">Piedāvātā kopējā </w:t>
      </w:r>
      <w:r w:rsidR="002B59C4" w:rsidRPr="0032466F">
        <w:t>būvprojekta izstrādes un autoruzraudzības līgumcena</w:t>
      </w:r>
      <w:r w:rsidR="002B59C4">
        <w:t xml:space="preserve"> - līgumcena EUR </w:t>
      </w:r>
      <w:r w:rsidR="002B59C4">
        <w:rPr>
          <w:color w:val="000000"/>
        </w:rPr>
        <w:t>351 310,00</w:t>
      </w:r>
      <w:r w:rsidR="002B59C4">
        <w:t xml:space="preserve"> bez PVN. </w:t>
      </w:r>
      <w:r w:rsidR="000C600C">
        <w:t>Dalībni</w:t>
      </w:r>
      <w:r w:rsidR="00642F3F">
        <w:t>ekam</w:t>
      </w:r>
      <w:r w:rsidR="00B55CD3" w:rsidRPr="00B55CD3">
        <w:t xml:space="preserve"> </w:t>
      </w:r>
      <w:r w:rsidR="00F841C7">
        <w:t>uzdot izvērtēt</w:t>
      </w:r>
      <w:r w:rsidR="00B55CD3" w:rsidRPr="00B55CD3">
        <w:t xml:space="preserve"> šī atzinuma </w:t>
      </w:r>
      <w:r w:rsidR="002D6234">
        <w:t>3</w:t>
      </w:r>
      <w:r w:rsidR="00B55CD3" w:rsidRPr="00B55CD3">
        <w:t>.nodaļā iekļautās norādes par meta nepilnībā</w:t>
      </w:r>
      <w:r w:rsidR="00F841C7">
        <w:t xml:space="preserve">m un vienoties par meta uzlabojumiem </w:t>
      </w:r>
      <w:r w:rsidR="00303653">
        <w:t>sarunu procedūras gaitā.</w:t>
      </w:r>
    </w:p>
    <w:p w:rsidR="00303653" w:rsidRDefault="00303653" w:rsidP="00C13B77">
      <w:pPr>
        <w:jc w:val="both"/>
      </w:pPr>
    </w:p>
    <w:p w:rsidR="00771E98" w:rsidRDefault="00771E98" w:rsidP="001A4165">
      <w:pPr>
        <w:jc w:val="both"/>
        <w:rPr>
          <w:b/>
        </w:rPr>
      </w:pPr>
    </w:p>
    <w:p w:rsidR="001A4165" w:rsidRPr="00771E98" w:rsidRDefault="00EE0B1B" w:rsidP="001A4165">
      <w:pPr>
        <w:jc w:val="both"/>
        <w:rPr>
          <w:b/>
          <w:i/>
        </w:rPr>
      </w:pPr>
      <w:r w:rsidRPr="00771E98">
        <w:rPr>
          <w:b/>
          <w:i/>
        </w:rPr>
        <w:t>Pielikumā:</w:t>
      </w:r>
    </w:p>
    <w:p w:rsidR="001A4165" w:rsidRDefault="001A4165" w:rsidP="001A4165">
      <w:pPr>
        <w:numPr>
          <w:ilvl w:val="0"/>
          <w:numId w:val="13"/>
        </w:numPr>
        <w:ind w:hanging="720"/>
        <w:jc w:val="both"/>
      </w:pPr>
      <w:r>
        <w:t>Komisijas locekļu individuālās vērtēšanas tabulas</w:t>
      </w:r>
      <w:r w:rsidR="00982431">
        <w:t xml:space="preserve"> – 20 (divdesmit) lp</w:t>
      </w:r>
      <w:r>
        <w:t>.</w:t>
      </w:r>
    </w:p>
    <w:p w:rsidR="001A4165" w:rsidRDefault="001A4165" w:rsidP="001A4165"/>
    <w:p w:rsidR="001A4165" w:rsidRDefault="001A4165" w:rsidP="001A4165">
      <w:pPr>
        <w:jc w:val="both"/>
      </w:pPr>
    </w:p>
    <w:p w:rsidR="001A4165" w:rsidRDefault="001A4165" w:rsidP="001A4165">
      <w:pPr>
        <w:ind w:right="-694"/>
        <w:jc w:val="both"/>
      </w:pPr>
      <w:r>
        <w:t xml:space="preserve">Komisijas priekšsēdētājs: </w:t>
      </w:r>
      <w:r>
        <w:tab/>
      </w:r>
      <w:r>
        <w:tab/>
        <w:t>_____________________</w:t>
      </w:r>
      <w:r>
        <w:tab/>
        <w:t xml:space="preserve">A. Brūvers </w:t>
      </w:r>
    </w:p>
    <w:p w:rsidR="001A4165" w:rsidRDefault="001A4165" w:rsidP="001A4165">
      <w:pPr>
        <w:ind w:right="-694"/>
        <w:jc w:val="both"/>
      </w:pPr>
    </w:p>
    <w:p w:rsidR="001A4165" w:rsidRDefault="001A4165" w:rsidP="001A4165">
      <w:pPr>
        <w:ind w:right="-694"/>
        <w:jc w:val="both"/>
      </w:pPr>
      <w:r>
        <w:t>Komisijas locekļi:</w:t>
      </w:r>
      <w:r>
        <w:tab/>
      </w:r>
      <w:r>
        <w:tab/>
      </w:r>
      <w:r>
        <w:tab/>
        <w:t>____________________</w:t>
      </w:r>
      <w:r>
        <w:tab/>
        <w:t>U. Bratuškins</w:t>
      </w:r>
    </w:p>
    <w:p w:rsidR="001A4165" w:rsidRDefault="001A4165" w:rsidP="001A4165">
      <w:pPr>
        <w:ind w:right="-694"/>
        <w:jc w:val="both"/>
      </w:pPr>
    </w:p>
    <w:p w:rsidR="001A4165" w:rsidRDefault="001A4165" w:rsidP="001A4165">
      <w:pPr>
        <w:ind w:right="-694"/>
        <w:jc w:val="both"/>
      </w:pPr>
      <w:r>
        <w:tab/>
      </w:r>
      <w:r>
        <w:tab/>
      </w:r>
      <w:r>
        <w:tab/>
      </w:r>
      <w:r>
        <w:tab/>
      </w:r>
      <w:r>
        <w:tab/>
        <w:t>_____________________</w:t>
      </w:r>
      <w:r>
        <w:tab/>
        <w:t>M. Hofmanis</w:t>
      </w:r>
    </w:p>
    <w:p w:rsidR="001A4165" w:rsidRDefault="001A4165" w:rsidP="001A4165"/>
    <w:p w:rsidR="001A4165" w:rsidRDefault="001A4165" w:rsidP="001A4165">
      <w:r>
        <w:tab/>
      </w:r>
      <w:r>
        <w:tab/>
      </w:r>
      <w:r>
        <w:tab/>
      </w:r>
      <w:r>
        <w:tab/>
      </w:r>
      <w:r>
        <w:tab/>
        <w:t>_____________________</w:t>
      </w:r>
      <w:r>
        <w:tab/>
        <w:t>D. Medniece</w:t>
      </w:r>
    </w:p>
    <w:p w:rsidR="001A4165" w:rsidRDefault="001A4165" w:rsidP="001A4165"/>
    <w:p w:rsidR="001A4165" w:rsidRDefault="001A4165" w:rsidP="001A4165">
      <w:r>
        <w:tab/>
      </w:r>
      <w:r>
        <w:tab/>
      </w:r>
      <w:r>
        <w:tab/>
      </w:r>
      <w:r>
        <w:tab/>
      </w:r>
      <w:r>
        <w:tab/>
        <w:t>_____________________</w:t>
      </w:r>
      <w:r>
        <w:tab/>
        <w:t>S. Grīnbergs</w:t>
      </w:r>
    </w:p>
    <w:p w:rsidR="001A4165" w:rsidRDefault="001A4165" w:rsidP="001A4165"/>
    <w:p w:rsidR="001A4165" w:rsidRDefault="001A4165" w:rsidP="001A4165">
      <w:r>
        <w:tab/>
      </w:r>
      <w:r>
        <w:tab/>
      </w:r>
      <w:r>
        <w:tab/>
      </w:r>
      <w:r>
        <w:tab/>
      </w:r>
      <w:r>
        <w:tab/>
        <w:t>_____________________</w:t>
      </w:r>
      <w:r>
        <w:tab/>
        <w:t>I. Grīviņa</w:t>
      </w:r>
    </w:p>
    <w:p w:rsidR="001A4165" w:rsidRDefault="001A4165" w:rsidP="001A4165"/>
    <w:p w:rsidR="001A4165" w:rsidRDefault="001A4165" w:rsidP="001A4165">
      <w:r>
        <w:tab/>
      </w:r>
      <w:r>
        <w:tab/>
      </w:r>
      <w:r>
        <w:tab/>
      </w:r>
      <w:r>
        <w:tab/>
      </w:r>
      <w:r>
        <w:tab/>
        <w:t>_____________________</w:t>
      </w:r>
      <w:r>
        <w:tab/>
        <w:t>E. Kāpa</w:t>
      </w:r>
    </w:p>
    <w:p w:rsidR="00EE0B1B" w:rsidRDefault="00EE0B1B" w:rsidP="001A4165"/>
    <w:p w:rsidR="001A4165" w:rsidRDefault="001A4165" w:rsidP="001A4165">
      <w:r>
        <w:tab/>
      </w:r>
      <w:r>
        <w:tab/>
      </w:r>
      <w:r>
        <w:tab/>
      </w:r>
      <w:r>
        <w:tab/>
      </w:r>
      <w:r>
        <w:tab/>
        <w:t>_____________________</w:t>
      </w:r>
      <w:r>
        <w:tab/>
        <w:t>R. Šteina</w:t>
      </w:r>
    </w:p>
    <w:p w:rsidR="001A4165" w:rsidRDefault="001A4165" w:rsidP="001A4165">
      <w:r>
        <w:tab/>
      </w:r>
      <w:r>
        <w:tab/>
      </w:r>
    </w:p>
    <w:p w:rsidR="001A4165" w:rsidRDefault="001A4165" w:rsidP="001A4165">
      <w:r>
        <w:tab/>
      </w:r>
      <w:r>
        <w:tab/>
      </w:r>
      <w:r>
        <w:tab/>
      </w:r>
      <w:r>
        <w:tab/>
      </w:r>
      <w:r>
        <w:tab/>
        <w:t>_____________________</w:t>
      </w:r>
      <w:r>
        <w:tab/>
        <w:t>V. Bulāns</w:t>
      </w:r>
    </w:p>
    <w:p w:rsidR="001A4165" w:rsidRDefault="001A4165" w:rsidP="001A4165"/>
    <w:p w:rsidR="001A4165" w:rsidRDefault="001A4165" w:rsidP="001A4165">
      <w:r>
        <w:tab/>
      </w:r>
      <w:r>
        <w:tab/>
      </w:r>
      <w:r>
        <w:tab/>
      </w:r>
      <w:r>
        <w:tab/>
      </w:r>
      <w:r>
        <w:tab/>
        <w:t>_____________________</w:t>
      </w:r>
      <w:r>
        <w:tab/>
        <w:t>H. Krasts</w:t>
      </w:r>
    </w:p>
    <w:p w:rsidR="001A4165" w:rsidRDefault="001A4165" w:rsidP="001A4165"/>
    <w:p w:rsidR="001A4165" w:rsidRDefault="001A4165" w:rsidP="001A4165">
      <w:r>
        <w:t>Eksperti:</w:t>
      </w:r>
      <w:r>
        <w:tab/>
      </w:r>
      <w:r>
        <w:tab/>
      </w:r>
      <w:r>
        <w:tab/>
      </w:r>
      <w:r>
        <w:tab/>
        <w:t>_____________________</w:t>
      </w:r>
      <w:r>
        <w:tab/>
        <w:t>N. Masaļskis</w:t>
      </w:r>
    </w:p>
    <w:p w:rsidR="001A4165" w:rsidRDefault="001A4165" w:rsidP="001A4165"/>
    <w:p w:rsidR="001A4165" w:rsidRDefault="001A4165" w:rsidP="001A4165">
      <w:r>
        <w:tab/>
      </w:r>
      <w:r>
        <w:tab/>
      </w:r>
      <w:r>
        <w:tab/>
      </w:r>
      <w:r>
        <w:tab/>
      </w:r>
      <w:r>
        <w:tab/>
        <w:t>_____________________</w:t>
      </w:r>
      <w:r>
        <w:tab/>
        <w:t>K. Miķelsone</w:t>
      </w:r>
    </w:p>
    <w:p w:rsidR="001A4165" w:rsidRDefault="001A4165" w:rsidP="001A4165"/>
    <w:p w:rsidR="00E45A7E" w:rsidRDefault="001A4165">
      <w:r>
        <w:t>Sekretāre:</w:t>
      </w:r>
      <w:r>
        <w:tab/>
      </w:r>
      <w:r>
        <w:tab/>
      </w:r>
      <w:r>
        <w:tab/>
      </w:r>
      <w:r>
        <w:tab/>
        <w:t>_____________________</w:t>
      </w:r>
      <w:r>
        <w:tab/>
        <w:t>A. Liepiņa</w:t>
      </w:r>
      <w:r>
        <w:tab/>
      </w:r>
    </w:p>
    <w:sectPr w:rsidR="00E45A7E" w:rsidSect="001A4165">
      <w:pgSz w:w="11906" w:h="16838"/>
      <w:pgMar w:top="1440" w:right="1558"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098"/>
    <w:multiLevelType w:val="hybridMultilevel"/>
    <w:tmpl w:val="0CE88C1A"/>
    <w:lvl w:ilvl="0" w:tplc="0DD4CB2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A300E48"/>
    <w:multiLevelType w:val="hybridMultilevel"/>
    <w:tmpl w:val="472A8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DE2E35"/>
    <w:multiLevelType w:val="hybridMultilevel"/>
    <w:tmpl w:val="472A8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FA550A"/>
    <w:multiLevelType w:val="hybridMultilevel"/>
    <w:tmpl w:val="472A8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5F1B80"/>
    <w:multiLevelType w:val="hybridMultilevel"/>
    <w:tmpl w:val="EA30E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7836DA"/>
    <w:multiLevelType w:val="hybridMultilevel"/>
    <w:tmpl w:val="06347A4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A47708B"/>
    <w:multiLevelType w:val="hybridMultilevel"/>
    <w:tmpl w:val="472A8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3C2CB4"/>
    <w:multiLevelType w:val="hybridMultilevel"/>
    <w:tmpl w:val="472A8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76365B8"/>
    <w:multiLevelType w:val="hybridMultilevel"/>
    <w:tmpl w:val="472A8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08F3597"/>
    <w:multiLevelType w:val="hybridMultilevel"/>
    <w:tmpl w:val="472A8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42F49D2"/>
    <w:multiLevelType w:val="hybridMultilevel"/>
    <w:tmpl w:val="472A8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80291C"/>
    <w:multiLevelType w:val="hybridMultilevel"/>
    <w:tmpl w:val="2FB22C1A"/>
    <w:lvl w:ilvl="0" w:tplc="0BBED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4"/>
  </w:num>
  <w:num w:numId="3">
    <w:abstractNumId w:val="1"/>
  </w:num>
  <w:num w:numId="4">
    <w:abstractNumId w:val="0"/>
  </w:num>
  <w:num w:numId="5">
    <w:abstractNumId w:val="9"/>
  </w:num>
  <w:num w:numId="6">
    <w:abstractNumId w:val="10"/>
  </w:num>
  <w:num w:numId="7">
    <w:abstractNumId w:val="2"/>
  </w:num>
  <w:num w:numId="8">
    <w:abstractNumId w:val="7"/>
  </w:num>
  <w:num w:numId="9">
    <w:abstractNumId w:val="3"/>
  </w:num>
  <w:num w:numId="10">
    <w:abstractNumId w:val="8"/>
  </w:num>
  <w:num w:numId="11">
    <w:abstractNumId w:val="1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DB"/>
    <w:rsid w:val="00081EAB"/>
    <w:rsid w:val="000C600C"/>
    <w:rsid w:val="000F00E7"/>
    <w:rsid w:val="000F6FB9"/>
    <w:rsid w:val="001A4165"/>
    <w:rsid w:val="001B0878"/>
    <w:rsid w:val="001C0EDF"/>
    <w:rsid w:val="002437FD"/>
    <w:rsid w:val="002B59C4"/>
    <w:rsid w:val="002D6234"/>
    <w:rsid w:val="00303653"/>
    <w:rsid w:val="00386EB6"/>
    <w:rsid w:val="003F500C"/>
    <w:rsid w:val="00415365"/>
    <w:rsid w:val="004A34A1"/>
    <w:rsid w:val="00551C31"/>
    <w:rsid w:val="00572120"/>
    <w:rsid w:val="006327C9"/>
    <w:rsid w:val="00642F3F"/>
    <w:rsid w:val="0068304D"/>
    <w:rsid w:val="006920F3"/>
    <w:rsid w:val="00693DC2"/>
    <w:rsid w:val="00757ADB"/>
    <w:rsid w:val="00771E98"/>
    <w:rsid w:val="008C1C7E"/>
    <w:rsid w:val="008F1EC2"/>
    <w:rsid w:val="00982431"/>
    <w:rsid w:val="009919B1"/>
    <w:rsid w:val="00B4224A"/>
    <w:rsid w:val="00B55CD3"/>
    <w:rsid w:val="00BD72D6"/>
    <w:rsid w:val="00C13B77"/>
    <w:rsid w:val="00C82969"/>
    <w:rsid w:val="00D36A6A"/>
    <w:rsid w:val="00D52590"/>
    <w:rsid w:val="00D61DB8"/>
    <w:rsid w:val="00E45A7E"/>
    <w:rsid w:val="00E8076B"/>
    <w:rsid w:val="00EE0B1B"/>
    <w:rsid w:val="00EE36EF"/>
    <w:rsid w:val="00F04D07"/>
    <w:rsid w:val="00F841C7"/>
    <w:rsid w:val="00FC4F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9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52590"/>
    <w:pPr>
      <w:keepNext/>
      <w:jc w:val="center"/>
      <w:outlineLvl w:val="0"/>
    </w:pPr>
    <w:rPr>
      <w:sz w:val="28"/>
      <w:lang w:eastAsia="en-US"/>
    </w:rPr>
  </w:style>
  <w:style w:type="paragraph" w:styleId="Heading2">
    <w:name w:val="heading 2"/>
    <w:basedOn w:val="Normal"/>
    <w:next w:val="Normal"/>
    <w:link w:val="Heading2Char"/>
    <w:semiHidden/>
    <w:unhideWhenUsed/>
    <w:qFormat/>
    <w:rsid w:val="00D52590"/>
    <w:pPr>
      <w:keepNext/>
      <w:jc w:val="both"/>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D52590"/>
    <w:pPr>
      <w:widowControl w:val="0"/>
      <w:tabs>
        <w:tab w:val="center" w:pos="4153"/>
        <w:tab w:val="right" w:pos="8306"/>
      </w:tabs>
      <w:overflowPunct w:val="0"/>
      <w:autoSpaceDE w:val="0"/>
      <w:autoSpaceDN w:val="0"/>
      <w:adjustRightInd w:val="0"/>
    </w:pPr>
    <w:rPr>
      <w:kern w:val="28"/>
      <w:sz w:val="20"/>
      <w:szCs w:val="20"/>
      <w:lang w:val="en-GB"/>
    </w:rPr>
  </w:style>
  <w:style w:type="character" w:customStyle="1" w:styleId="HeaderChar">
    <w:name w:val="Header Char"/>
    <w:basedOn w:val="DefaultParagraphFont"/>
    <w:uiPriority w:val="99"/>
    <w:semiHidden/>
    <w:rsid w:val="00D52590"/>
    <w:rPr>
      <w:rFonts w:ascii="Times New Roman" w:eastAsia="Times New Roman" w:hAnsi="Times New Roman" w:cs="Times New Roman"/>
      <w:sz w:val="24"/>
      <w:szCs w:val="24"/>
      <w:lang w:eastAsia="lv-LV"/>
    </w:rPr>
  </w:style>
  <w:style w:type="character" w:customStyle="1" w:styleId="HeaderChar1">
    <w:name w:val="Header Char1"/>
    <w:link w:val="Header"/>
    <w:rsid w:val="00D52590"/>
    <w:rPr>
      <w:rFonts w:ascii="Times New Roman" w:eastAsia="Times New Roman" w:hAnsi="Times New Roman" w:cs="Times New Roman"/>
      <w:kern w:val="28"/>
      <w:sz w:val="20"/>
      <w:szCs w:val="20"/>
      <w:lang w:val="en-GB" w:eastAsia="lv-LV"/>
    </w:rPr>
  </w:style>
  <w:style w:type="character" w:customStyle="1" w:styleId="Heading1Char">
    <w:name w:val="Heading 1 Char"/>
    <w:basedOn w:val="DefaultParagraphFont"/>
    <w:link w:val="Heading1"/>
    <w:rsid w:val="00D52590"/>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D52590"/>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D36A6A"/>
    <w:pPr>
      <w:ind w:left="720"/>
      <w:contextualSpacing/>
    </w:pPr>
  </w:style>
  <w:style w:type="character" w:customStyle="1" w:styleId="ListParagraphChar">
    <w:name w:val="List Paragraph Char"/>
    <w:link w:val="ListParagraph"/>
    <w:uiPriority w:val="34"/>
    <w:locked/>
    <w:rsid w:val="00BD72D6"/>
    <w:rPr>
      <w:rFonts w:ascii="Times New Roman" w:eastAsia="Times New Roman" w:hAnsi="Times New Roman" w:cs="Times New Roman"/>
      <w:sz w:val="24"/>
      <w:szCs w:val="24"/>
      <w:lang w:eastAsia="lv-LV"/>
    </w:rPr>
  </w:style>
  <w:style w:type="table" w:styleId="TableGrid">
    <w:name w:val="Table Grid"/>
    <w:basedOn w:val="TableNormal"/>
    <w:uiPriority w:val="59"/>
    <w:rsid w:val="00BD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B0878"/>
    <w:pPr>
      <w:spacing w:after="0" w:line="240" w:lineRule="auto"/>
    </w:pPr>
    <w:rPr>
      <w:rFonts w:ascii="Helvetica" w:eastAsia="ヒラギノ角ゴ Pro W3" w:hAnsi="Helvetica" w:cs="Times New Roman"/>
      <w:color w:val="000000"/>
      <w:sz w:val="24"/>
      <w:szCs w:val="20"/>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9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52590"/>
    <w:pPr>
      <w:keepNext/>
      <w:jc w:val="center"/>
      <w:outlineLvl w:val="0"/>
    </w:pPr>
    <w:rPr>
      <w:sz w:val="28"/>
      <w:lang w:eastAsia="en-US"/>
    </w:rPr>
  </w:style>
  <w:style w:type="paragraph" w:styleId="Heading2">
    <w:name w:val="heading 2"/>
    <w:basedOn w:val="Normal"/>
    <w:next w:val="Normal"/>
    <w:link w:val="Heading2Char"/>
    <w:semiHidden/>
    <w:unhideWhenUsed/>
    <w:qFormat/>
    <w:rsid w:val="00D52590"/>
    <w:pPr>
      <w:keepNext/>
      <w:jc w:val="both"/>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D52590"/>
    <w:pPr>
      <w:widowControl w:val="0"/>
      <w:tabs>
        <w:tab w:val="center" w:pos="4153"/>
        <w:tab w:val="right" w:pos="8306"/>
      </w:tabs>
      <w:overflowPunct w:val="0"/>
      <w:autoSpaceDE w:val="0"/>
      <w:autoSpaceDN w:val="0"/>
      <w:adjustRightInd w:val="0"/>
    </w:pPr>
    <w:rPr>
      <w:kern w:val="28"/>
      <w:sz w:val="20"/>
      <w:szCs w:val="20"/>
      <w:lang w:val="en-GB"/>
    </w:rPr>
  </w:style>
  <w:style w:type="character" w:customStyle="1" w:styleId="HeaderChar">
    <w:name w:val="Header Char"/>
    <w:basedOn w:val="DefaultParagraphFont"/>
    <w:uiPriority w:val="99"/>
    <w:semiHidden/>
    <w:rsid w:val="00D52590"/>
    <w:rPr>
      <w:rFonts w:ascii="Times New Roman" w:eastAsia="Times New Roman" w:hAnsi="Times New Roman" w:cs="Times New Roman"/>
      <w:sz w:val="24"/>
      <w:szCs w:val="24"/>
      <w:lang w:eastAsia="lv-LV"/>
    </w:rPr>
  </w:style>
  <w:style w:type="character" w:customStyle="1" w:styleId="HeaderChar1">
    <w:name w:val="Header Char1"/>
    <w:link w:val="Header"/>
    <w:rsid w:val="00D52590"/>
    <w:rPr>
      <w:rFonts w:ascii="Times New Roman" w:eastAsia="Times New Roman" w:hAnsi="Times New Roman" w:cs="Times New Roman"/>
      <w:kern w:val="28"/>
      <w:sz w:val="20"/>
      <w:szCs w:val="20"/>
      <w:lang w:val="en-GB" w:eastAsia="lv-LV"/>
    </w:rPr>
  </w:style>
  <w:style w:type="character" w:customStyle="1" w:styleId="Heading1Char">
    <w:name w:val="Heading 1 Char"/>
    <w:basedOn w:val="DefaultParagraphFont"/>
    <w:link w:val="Heading1"/>
    <w:rsid w:val="00D52590"/>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D52590"/>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D36A6A"/>
    <w:pPr>
      <w:ind w:left="720"/>
      <w:contextualSpacing/>
    </w:pPr>
  </w:style>
  <w:style w:type="character" w:customStyle="1" w:styleId="ListParagraphChar">
    <w:name w:val="List Paragraph Char"/>
    <w:link w:val="ListParagraph"/>
    <w:uiPriority w:val="34"/>
    <w:locked/>
    <w:rsid w:val="00BD72D6"/>
    <w:rPr>
      <w:rFonts w:ascii="Times New Roman" w:eastAsia="Times New Roman" w:hAnsi="Times New Roman" w:cs="Times New Roman"/>
      <w:sz w:val="24"/>
      <w:szCs w:val="24"/>
      <w:lang w:eastAsia="lv-LV"/>
    </w:rPr>
  </w:style>
  <w:style w:type="table" w:styleId="TableGrid">
    <w:name w:val="Table Grid"/>
    <w:basedOn w:val="TableNormal"/>
    <w:uiPriority w:val="59"/>
    <w:rsid w:val="00BD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B0878"/>
    <w:pPr>
      <w:spacing w:after="0" w:line="240" w:lineRule="auto"/>
    </w:pPr>
    <w:rPr>
      <w:rFonts w:ascii="Helvetica" w:eastAsia="ヒラギノ角ゴ Pro W3" w:hAnsi="Helvetica" w:cs="Times New Roman"/>
      <w:color w:val="000000"/>
      <w:sz w:val="24"/>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5B42-E60B-4908-A2E8-CA69E5E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8785</Words>
  <Characters>5009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15</cp:revision>
  <dcterms:created xsi:type="dcterms:W3CDTF">2016-06-15T07:48:00Z</dcterms:created>
  <dcterms:modified xsi:type="dcterms:W3CDTF">2016-06-15T11:39:00Z</dcterms:modified>
</cp:coreProperties>
</file>