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272811" w:rsidP="0062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77787" w:rsidRPr="00977787">
        <w:rPr>
          <w:rFonts w:ascii="Times New Roman Bold"/>
          <w:sz w:val="28"/>
          <w:szCs w:val="28"/>
        </w:rPr>
        <w:t xml:space="preserve">Jauna skolas </w:t>
      </w:r>
      <w:r w:rsidR="00977787" w:rsidRPr="00977787">
        <w:rPr>
          <w:rFonts w:hAnsi="Times New Roman Bold"/>
          <w:sz w:val="28"/>
          <w:szCs w:val="28"/>
        </w:rPr>
        <w:t>ē</w:t>
      </w:r>
      <w:r w:rsidR="00977787" w:rsidRPr="00977787">
        <w:rPr>
          <w:rFonts w:ascii="Times New Roman Bold"/>
          <w:sz w:val="28"/>
          <w:szCs w:val="28"/>
        </w:rPr>
        <w:t xml:space="preserve">ka </w:t>
      </w:r>
      <w:r w:rsidR="00977787" w:rsidRPr="00977787">
        <w:rPr>
          <w:rFonts w:hAnsi="Times New Roman Bold"/>
          <w:sz w:val="28"/>
          <w:szCs w:val="28"/>
        </w:rPr>
        <w:t>Ā</w:t>
      </w:r>
      <w:r w:rsidR="00977787" w:rsidRPr="00977787">
        <w:rPr>
          <w:rFonts w:ascii="Times New Roman Bold"/>
          <w:sz w:val="28"/>
          <w:szCs w:val="28"/>
        </w:rPr>
        <w:t>da</w:t>
      </w:r>
      <w:r w:rsidR="00977787" w:rsidRPr="00977787">
        <w:rPr>
          <w:rFonts w:hAnsi="Times New Roman Bold"/>
          <w:sz w:val="28"/>
          <w:szCs w:val="28"/>
        </w:rPr>
        <w:t>ž</w:t>
      </w:r>
      <w:r w:rsidR="00977787" w:rsidRPr="00977787">
        <w:rPr>
          <w:rFonts w:ascii="Times New Roman Bold"/>
          <w:sz w:val="28"/>
          <w:szCs w:val="28"/>
        </w:rPr>
        <w:t>os</w:t>
      </w:r>
      <w:r>
        <w:rPr>
          <w:b/>
          <w:sz w:val="28"/>
          <w:szCs w:val="28"/>
        </w:rPr>
        <w:t>”</w:t>
      </w:r>
    </w:p>
    <w:p w:rsidR="00272811" w:rsidRDefault="00977787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2016/38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977787">
        <w:rPr>
          <w:b/>
        </w:rPr>
        <w:t xml:space="preserve"> Nr.05-30-2016/38</w:t>
      </w:r>
      <w:r w:rsidR="006B2C5B">
        <w:rPr>
          <w:b/>
        </w:rPr>
        <w:t>-</w:t>
      </w:r>
      <w:r w:rsidR="00697E2B">
        <w:rPr>
          <w:b/>
        </w:rPr>
        <w:t>6</w:t>
      </w:r>
      <w:bookmarkStart w:id="0" w:name="_GoBack"/>
      <w:bookmarkEnd w:id="0"/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6208C5" w:rsidP="00FA0EF8">
            <w:pPr>
              <w:jc w:val="right"/>
            </w:pPr>
            <w:r>
              <w:rPr>
                <w:b/>
              </w:rPr>
              <w:t>2016</w:t>
            </w:r>
            <w:r w:rsidR="002716BB">
              <w:rPr>
                <w:b/>
              </w:rPr>
              <w:t xml:space="preserve">. gada </w:t>
            </w:r>
            <w:r w:rsidR="00FA0EF8">
              <w:rPr>
                <w:b/>
              </w:rPr>
              <w:t>11</w:t>
            </w:r>
            <w:r w:rsidR="001E56B8">
              <w:rPr>
                <w:b/>
              </w:rPr>
              <w:t>.</w:t>
            </w:r>
            <w:r w:rsidR="002950C6">
              <w:rPr>
                <w:b/>
              </w:rPr>
              <w:t>maijā</w:t>
            </w:r>
          </w:p>
        </w:tc>
      </w:tr>
    </w:tbl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</w:t>
      </w:r>
      <w:r w:rsidR="00D24ABF">
        <w:rPr>
          <w:sz w:val="24"/>
        </w:rPr>
        <w:t xml:space="preserve"> plkst.</w:t>
      </w:r>
      <w:r w:rsidR="00CB6B30">
        <w:rPr>
          <w:sz w:val="24"/>
        </w:rPr>
        <w:t>8</w:t>
      </w:r>
      <w:r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272811" w:rsidTr="00272811">
        <w:tc>
          <w:tcPr>
            <w:tcW w:w="3060" w:type="dxa"/>
          </w:tcPr>
          <w:p w:rsidR="00272811" w:rsidRDefault="00272811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  <w:p w:rsidR="00381801" w:rsidRDefault="00381801">
            <w:pPr>
              <w:ind w:left="72" w:right="-694"/>
              <w:jc w:val="both"/>
            </w:pPr>
          </w:p>
          <w:p w:rsidR="00381801" w:rsidRDefault="00381801">
            <w:pPr>
              <w:ind w:left="72" w:right="-694"/>
              <w:jc w:val="both"/>
            </w:pPr>
          </w:p>
          <w:p w:rsidR="00381801" w:rsidRDefault="00381801">
            <w:pPr>
              <w:ind w:left="72" w:right="-694"/>
              <w:jc w:val="both"/>
            </w:pPr>
          </w:p>
          <w:p w:rsidR="00381801" w:rsidRDefault="00381801">
            <w:pPr>
              <w:ind w:left="72" w:right="-694"/>
              <w:jc w:val="both"/>
            </w:pPr>
          </w:p>
          <w:p w:rsidR="00381801" w:rsidRDefault="00381801">
            <w:pPr>
              <w:ind w:left="72" w:right="-694"/>
              <w:jc w:val="both"/>
            </w:pPr>
          </w:p>
          <w:p w:rsidR="00381801" w:rsidRDefault="00381801">
            <w:pPr>
              <w:ind w:left="72" w:right="-694"/>
              <w:jc w:val="both"/>
            </w:pPr>
            <w:r>
              <w:t>Eksperti:</w:t>
            </w:r>
          </w:p>
          <w:p w:rsidR="00D15748" w:rsidRDefault="00D15748">
            <w:pPr>
              <w:ind w:left="72" w:right="-694"/>
              <w:jc w:val="both"/>
            </w:pPr>
          </w:p>
          <w:p w:rsidR="00D15748" w:rsidRDefault="00D15748">
            <w:pPr>
              <w:ind w:left="72" w:right="-694"/>
              <w:jc w:val="both"/>
            </w:pPr>
            <w:r>
              <w:t>Sekretāre:</w:t>
            </w:r>
          </w:p>
        </w:tc>
        <w:tc>
          <w:tcPr>
            <w:tcW w:w="4680" w:type="dxa"/>
            <w:hideMark/>
          </w:tcPr>
          <w:p w:rsidR="006B68BA" w:rsidRDefault="00272811" w:rsidP="00C93910">
            <w:pPr>
              <w:ind w:right="-694"/>
              <w:jc w:val="both"/>
            </w:pPr>
            <w:r>
              <w:t>Artis Brūvers</w:t>
            </w:r>
          </w:p>
          <w:p w:rsidR="00E33CFC" w:rsidRDefault="0009587F">
            <w:pPr>
              <w:jc w:val="both"/>
            </w:pPr>
            <w:r>
              <w:t>Uģis Bratuškins</w:t>
            </w:r>
          </w:p>
          <w:p w:rsidR="00E33CFC" w:rsidRDefault="0009587F">
            <w:pPr>
              <w:jc w:val="both"/>
            </w:pPr>
            <w:r>
              <w:t>Mārtiņš Hofmanis</w:t>
            </w:r>
          </w:p>
          <w:p w:rsidR="005D66B5" w:rsidRDefault="0009587F">
            <w:pPr>
              <w:jc w:val="both"/>
            </w:pPr>
            <w:r>
              <w:t>Dace Medniece</w:t>
            </w:r>
          </w:p>
          <w:p w:rsidR="00BE502E" w:rsidRDefault="0009587F">
            <w:pPr>
              <w:jc w:val="both"/>
            </w:pPr>
            <w:r>
              <w:t>Silvis Grīnbergs</w:t>
            </w:r>
          </w:p>
          <w:p w:rsidR="00E33CFC" w:rsidRDefault="00B23A4F">
            <w:pPr>
              <w:jc w:val="both"/>
            </w:pPr>
            <w:r>
              <w:t>Iveta Grīviņa</w:t>
            </w:r>
          </w:p>
          <w:p w:rsidR="00B23A4F" w:rsidRDefault="00B23A4F">
            <w:pPr>
              <w:jc w:val="both"/>
            </w:pPr>
            <w:r>
              <w:t>Everita Kāpa</w:t>
            </w:r>
          </w:p>
          <w:p w:rsidR="00B23A4F" w:rsidRDefault="00B23A4F">
            <w:pPr>
              <w:jc w:val="both"/>
            </w:pPr>
            <w:r>
              <w:t>Rita Šteina</w:t>
            </w:r>
          </w:p>
          <w:p w:rsidR="00B23A4F" w:rsidRDefault="00B23A4F">
            <w:pPr>
              <w:jc w:val="both"/>
            </w:pPr>
            <w:r>
              <w:t>Valērijs Bulāns</w:t>
            </w:r>
          </w:p>
          <w:p w:rsidR="00381801" w:rsidRDefault="00B23A4F">
            <w:pPr>
              <w:jc w:val="both"/>
            </w:pPr>
            <w:r>
              <w:t>Halfors Krasts</w:t>
            </w:r>
          </w:p>
          <w:p w:rsidR="00381801" w:rsidRDefault="00D15748">
            <w:pPr>
              <w:jc w:val="both"/>
            </w:pPr>
            <w:r>
              <w:t>Normunds Masaļskis</w:t>
            </w:r>
          </w:p>
          <w:p w:rsidR="00D15748" w:rsidRDefault="00D15748">
            <w:pPr>
              <w:jc w:val="both"/>
            </w:pPr>
            <w:r>
              <w:t>Karīna Miķelsone</w:t>
            </w:r>
          </w:p>
          <w:p w:rsidR="00272811" w:rsidRDefault="00D15748" w:rsidP="00C93910">
            <w:pPr>
              <w:jc w:val="both"/>
            </w:pPr>
            <w:r>
              <w:t>Alīna Liepiņa</w:t>
            </w: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272811" w:rsidRDefault="00B27748" w:rsidP="00B27748">
      <w:pPr>
        <w:ind w:left="720"/>
        <w:jc w:val="both"/>
      </w:pPr>
      <w:r w:rsidRPr="0078627B">
        <w:t>Ādažu novada domes 2016.gada 8.marta</w:t>
      </w:r>
      <w:r>
        <w:t xml:space="preserve"> lēmums</w:t>
      </w:r>
      <w:r w:rsidRPr="0078627B">
        <w:t xml:space="preserve"> Nr.35 „Par grozījumiem Ādažu novada domes 2015.gada 22.decembra lēmumā Nr.259 „Par pašvaldības iepirkumu komisijas sastāvu iepirkumiem par jaunas skolas ēkas meta izstrādi, tehniskā projekta izstrādi un autoruzraudzības nodrošināšanu”</w:t>
      </w:r>
      <w:r>
        <w:t>”</w:t>
      </w:r>
      <w:r w:rsidR="0009587F">
        <w:t>.</w:t>
      </w: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CD5F7C" w:rsidP="00272811">
      <w:pPr>
        <w:tabs>
          <w:tab w:val="left" w:pos="993"/>
        </w:tabs>
        <w:ind w:left="709"/>
        <w:jc w:val="both"/>
      </w:pPr>
      <w:r>
        <w:t>Skaidrojuma sniegšana par i</w:t>
      </w:r>
      <w:r w:rsidR="00272811">
        <w:t xml:space="preserve">epirkuma </w:t>
      </w:r>
      <w:r w:rsidR="00272811" w:rsidRPr="00E77527">
        <w:t>„</w:t>
      </w:r>
      <w:r w:rsidR="006B4E61">
        <w:t xml:space="preserve">Jauna </w:t>
      </w:r>
      <w:r w:rsidR="006D295B">
        <w:t>skolas ēka Ādažos</w:t>
      </w:r>
      <w:r w:rsidR="006B68BA" w:rsidRPr="00E77527">
        <w:t>”</w:t>
      </w:r>
      <w:r w:rsidR="00E77527">
        <w:t xml:space="preserve"> </w:t>
      </w:r>
      <w:r w:rsidR="006208C5">
        <w:t>(ID.Nr.: ĀND 2016</w:t>
      </w:r>
      <w:r w:rsidR="006B68BA">
        <w:t>/</w:t>
      </w:r>
      <w:r w:rsidR="006D295B">
        <w:t>38</w:t>
      </w:r>
      <w:r w:rsidR="00272811">
        <w:t>) dokumentāci</w:t>
      </w:r>
      <w:r>
        <w:t>ju</w:t>
      </w:r>
      <w:r w:rsidR="00272811">
        <w:t>.</w:t>
      </w: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3A2C9D" w:rsidRDefault="00E33CFC" w:rsidP="003A2C9D">
      <w:pPr>
        <w:pStyle w:val="ListParagraph"/>
        <w:numPr>
          <w:ilvl w:val="0"/>
          <w:numId w:val="3"/>
        </w:numPr>
        <w:ind w:left="709" w:hanging="709"/>
        <w:jc w:val="both"/>
      </w:pPr>
      <w:r>
        <w:t>R. Šteina</w:t>
      </w:r>
      <w:r w:rsidR="00272811">
        <w:t xml:space="preserve"> </w:t>
      </w:r>
      <w:r w:rsidR="00CD5F7C">
        <w:t>ziņo par ieinteresētā pretendenta jautājum</w:t>
      </w:r>
      <w:r w:rsidR="00FA0EF8">
        <w:t>u</w:t>
      </w:r>
      <w:r w:rsidR="00CD5F7C">
        <w:t xml:space="preserve"> par</w:t>
      </w:r>
      <w:r w:rsidR="00272811">
        <w:t xml:space="preserve"> iepirkuma </w:t>
      </w:r>
      <w:r w:rsidR="006D295B" w:rsidRPr="00E77527">
        <w:t>„</w:t>
      </w:r>
      <w:r w:rsidR="006D295B">
        <w:t>Jauna skolas ēka Ādažos</w:t>
      </w:r>
      <w:r w:rsidR="006D295B" w:rsidRPr="00E77527">
        <w:t>”</w:t>
      </w:r>
      <w:r w:rsidR="006D295B">
        <w:t xml:space="preserve"> (ID.Nr.: ĀND 2016/38)</w:t>
      </w:r>
      <w:r w:rsidR="00863C22">
        <w:t xml:space="preserve"> </w:t>
      </w:r>
      <w:r w:rsidR="00CD5F7C">
        <w:t>nolikum</w:t>
      </w:r>
      <w:r w:rsidR="00607AD8">
        <w:t>u</w:t>
      </w:r>
      <w:r w:rsidR="00CD5F7C">
        <w:t xml:space="preserve">. </w:t>
      </w:r>
      <w:r w:rsidR="00121AED">
        <w:t>Komisija iepazīstas ar jautājum</w:t>
      </w:r>
      <w:r w:rsidR="00FA0EF8">
        <w:t xml:space="preserve">u </w:t>
      </w:r>
      <w:r w:rsidR="00607AD8">
        <w:t>un lemj par sniedzamajām atbildēm</w:t>
      </w:r>
      <w:r w:rsidR="00121AED">
        <w:t>:</w:t>
      </w:r>
      <w:r w:rsidR="003A2C9D">
        <w:t xml:space="preserve"> </w:t>
      </w:r>
    </w:p>
    <w:p w:rsidR="00607AD8" w:rsidRDefault="00607AD8" w:rsidP="00607AD8">
      <w:pPr>
        <w:pStyle w:val="ListParagraph"/>
        <w:ind w:left="709"/>
        <w:jc w:val="both"/>
      </w:pPr>
    </w:p>
    <w:tbl>
      <w:tblPr>
        <w:tblStyle w:val="TableGrid"/>
        <w:tblW w:w="921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9553DF" w:rsidRPr="00CF6726" w:rsidTr="007331FA">
        <w:tc>
          <w:tcPr>
            <w:tcW w:w="4678" w:type="dxa"/>
          </w:tcPr>
          <w:p w:rsidR="009553DF" w:rsidRPr="00CF6726" w:rsidRDefault="009553DF" w:rsidP="00607AD8">
            <w:pPr>
              <w:pStyle w:val="ListParagraph"/>
              <w:ind w:left="0"/>
              <w:jc w:val="both"/>
              <w:rPr>
                <w:b/>
              </w:rPr>
            </w:pPr>
            <w:r w:rsidRPr="00CF6726">
              <w:rPr>
                <w:b/>
              </w:rPr>
              <w:t>Jautājums:</w:t>
            </w:r>
          </w:p>
        </w:tc>
        <w:tc>
          <w:tcPr>
            <w:tcW w:w="4536" w:type="dxa"/>
          </w:tcPr>
          <w:p w:rsidR="009553DF" w:rsidRPr="00CF6726" w:rsidRDefault="009553DF" w:rsidP="00123279">
            <w:pPr>
              <w:pStyle w:val="ListParagraph"/>
              <w:ind w:left="0"/>
              <w:jc w:val="both"/>
              <w:rPr>
                <w:b/>
              </w:rPr>
            </w:pPr>
            <w:r w:rsidRPr="00CF6726">
              <w:rPr>
                <w:b/>
              </w:rPr>
              <w:t>Atbilde:</w:t>
            </w:r>
          </w:p>
        </w:tc>
      </w:tr>
      <w:tr w:rsidR="009553DF" w:rsidTr="007331FA">
        <w:tc>
          <w:tcPr>
            <w:tcW w:w="4678" w:type="dxa"/>
          </w:tcPr>
          <w:p w:rsidR="009553DF" w:rsidRDefault="00FA0EF8" w:rsidP="002950C6">
            <w:pPr>
              <w:spacing w:before="120"/>
              <w:jc w:val="both"/>
            </w:pPr>
            <w:r>
              <w:t>Lai varētu pilnvērtīgi un kvalitatīvi izstrādāt un iesniegt izstrādātu metu „Jaunā skolas ēka Ādažos” (ID.NR</w:t>
            </w:r>
            <w:r w:rsidR="007331FA">
              <w:t xml:space="preserve">.:ĀND2016/38), </w:t>
            </w:r>
            <w:r>
              <w:t>lūdzam rast iespēju pagarināt iesniegšanas termiņu par vienu mēnesi.</w:t>
            </w:r>
          </w:p>
        </w:tc>
        <w:tc>
          <w:tcPr>
            <w:tcW w:w="4536" w:type="dxa"/>
          </w:tcPr>
          <w:p w:rsidR="009553DF" w:rsidRPr="00360D37" w:rsidRDefault="00012FE9" w:rsidP="004C471B">
            <w:pPr>
              <w:pStyle w:val="ListParagraph"/>
              <w:ind w:left="0"/>
              <w:jc w:val="both"/>
            </w:pPr>
            <w:r>
              <w:t>P</w:t>
            </w:r>
            <w:r w:rsidR="00FA0EF8">
              <w:t>iedāvājumu iesniegšanas termiņš</w:t>
            </w:r>
            <w:r w:rsidR="007331FA">
              <w:t xml:space="preserve"> </w:t>
            </w:r>
            <w:r w:rsidR="005678C1">
              <w:t xml:space="preserve">(vairāk kā divi mēneši) </w:t>
            </w:r>
            <w:r w:rsidR="00644049">
              <w:t>tika noteikts samērīg</w:t>
            </w:r>
            <w:r w:rsidR="005678C1">
              <w:t>i</w:t>
            </w:r>
            <w:r w:rsidR="00644049">
              <w:t xml:space="preserve"> meta priekšmetam</w:t>
            </w:r>
            <w:r w:rsidR="007331FA">
              <w:t xml:space="preserve"> un pietiekošs, lai i</w:t>
            </w:r>
            <w:r w:rsidR="005678C1">
              <w:t>zstrādātu kvalitatīvu metu</w:t>
            </w:r>
            <w:r w:rsidR="004C471B">
              <w:t>, līdz ar to komisija neveiks metu iesniegšanas termiņa pagarinājumu.</w:t>
            </w:r>
          </w:p>
        </w:tc>
      </w:tr>
    </w:tbl>
    <w:p w:rsidR="00607AD8" w:rsidRDefault="00607AD8" w:rsidP="00607AD8">
      <w:pPr>
        <w:pStyle w:val="ListParagraph"/>
      </w:pPr>
    </w:p>
    <w:p w:rsidR="00637ACA" w:rsidRDefault="00637ACA" w:rsidP="00121AED">
      <w:pPr>
        <w:pStyle w:val="ListParagraph"/>
        <w:ind w:left="709"/>
        <w:jc w:val="both"/>
      </w:pPr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rPr>
          <w:b/>
          <w:bCs/>
        </w:rPr>
        <w:t>Komisija</w:t>
      </w:r>
      <w:r w:rsidR="00F4353D">
        <w:rPr>
          <w:b/>
          <w:bCs/>
        </w:rPr>
        <w:t xml:space="preserve"> vienbalsīgi </w:t>
      </w:r>
      <w:r>
        <w:rPr>
          <w:b/>
          <w:bCs/>
        </w:rPr>
        <w:t xml:space="preserve">nolemj: </w:t>
      </w:r>
    </w:p>
    <w:p w:rsidR="00272811" w:rsidRPr="00F4353D" w:rsidRDefault="00272811" w:rsidP="00F4353D">
      <w:pPr>
        <w:shd w:val="clear" w:color="auto" w:fill="DBE5F1" w:themeFill="accent1" w:themeFillTint="33"/>
        <w:jc w:val="both"/>
        <w:rPr>
          <w:b/>
        </w:rPr>
      </w:pPr>
      <w:r w:rsidRPr="00F4353D">
        <w:rPr>
          <w:b/>
        </w:rPr>
        <w:t xml:space="preserve">Atbalstīt </w:t>
      </w:r>
      <w:r w:rsidR="00241498">
        <w:rPr>
          <w:b/>
        </w:rPr>
        <w:t xml:space="preserve">un publiskot </w:t>
      </w:r>
      <w:r w:rsidR="00D24ABF">
        <w:rPr>
          <w:b/>
        </w:rPr>
        <w:t>skaidrojumu</w:t>
      </w:r>
      <w:r w:rsidR="00781A82" w:rsidRPr="00F4353D">
        <w:rPr>
          <w:b/>
        </w:rPr>
        <w:t xml:space="preserve"> par iepirkuma</w:t>
      </w:r>
      <w:r w:rsidRPr="00F4353D">
        <w:rPr>
          <w:b/>
        </w:rPr>
        <w:t xml:space="preserve"> </w:t>
      </w:r>
      <w:r w:rsidR="006D295B" w:rsidRPr="00F4353D">
        <w:rPr>
          <w:b/>
        </w:rPr>
        <w:t>„Jauna skolas ēka Ādažos” (ID.Nr.: ĀND 2016/38)</w:t>
      </w:r>
      <w:r w:rsidR="00FB4200" w:rsidRPr="00F4353D">
        <w:rPr>
          <w:b/>
        </w:rPr>
        <w:t xml:space="preserve"> </w:t>
      </w:r>
      <w:r w:rsidR="0083447E" w:rsidRPr="00F4353D">
        <w:rPr>
          <w:b/>
        </w:rPr>
        <w:t>nolikuma</w:t>
      </w:r>
      <w:r w:rsidRPr="00F4353D">
        <w:rPr>
          <w:b/>
        </w:rPr>
        <w:t xml:space="preserve"> projektu</w:t>
      </w:r>
      <w:r w:rsidRPr="00F4353D">
        <w:rPr>
          <w:b/>
          <w:i/>
        </w:rPr>
        <w:t>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lastRenderedPageBreak/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766450">
        <w:t xml:space="preserve">ekšsēdētājs sēdi slēdz plkst. </w:t>
      </w:r>
      <w:r w:rsidR="00CB6B30">
        <w:t>9</w:t>
      </w:r>
      <w:r>
        <w:t>:00.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72811" w:rsidRDefault="00272811" w:rsidP="00023654">
      <w:pPr>
        <w:numPr>
          <w:ilvl w:val="0"/>
          <w:numId w:val="2"/>
        </w:numPr>
        <w:ind w:hanging="720"/>
        <w:jc w:val="both"/>
      </w:pPr>
      <w:r>
        <w:t>Ie</w:t>
      </w:r>
      <w:r w:rsidR="001246B2">
        <w:t>interesētā pretendenta e-pasts (nepubliskojama informācija)</w:t>
      </w:r>
      <w:r>
        <w:t>;</w:t>
      </w:r>
    </w:p>
    <w:p w:rsidR="00272811" w:rsidRDefault="002A54C7" w:rsidP="00023654">
      <w:pPr>
        <w:numPr>
          <w:ilvl w:val="0"/>
          <w:numId w:val="2"/>
        </w:numPr>
        <w:ind w:hanging="720"/>
        <w:jc w:val="both"/>
      </w:pPr>
      <w:r>
        <w:t>Publikācij</w:t>
      </w:r>
      <w:r w:rsidR="001246B2">
        <w:t>as</w:t>
      </w:r>
      <w:r>
        <w:t xml:space="preserve"> izdruka no ĀND </w:t>
      </w:r>
      <w:r w:rsidR="001246B2">
        <w:t>mājaslapas</w:t>
      </w:r>
      <w:r w:rsidR="00272811">
        <w:t>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272811" w:rsidRDefault="00272811" w:rsidP="00272811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272811" w:rsidRDefault="00272811" w:rsidP="00272811">
      <w:pPr>
        <w:ind w:right="-694"/>
        <w:jc w:val="both"/>
      </w:pPr>
    </w:p>
    <w:p w:rsidR="001D5B3D" w:rsidRDefault="00272811" w:rsidP="00E77527">
      <w:pPr>
        <w:ind w:right="-694"/>
        <w:jc w:val="both"/>
      </w:pPr>
      <w:r>
        <w:t>Komisijas locekļi:</w:t>
      </w:r>
      <w:r>
        <w:tab/>
      </w:r>
      <w:r>
        <w:tab/>
      </w:r>
      <w:r>
        <w:tab/>
      </w:r>
    </w:p>
    <w:p w:rsidR="00E63A48" w:rsidRDefault="00E63A48" w:rsidP="00E77527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766450">
        <w:t>U. Bratuškins</w:t>
      </w:r>
    </w:p>
    <w:p w:rsidR="00E63A48" w:rsidRDefault="00E63A48" w:rsidP="00E77527">
      <w:pPr>
        <w:ind w:right="-694"/>
        <w:jc w:val="both"/>
      </w:pPr>
    </w:p>
    <w:p w:rsidR="001D5B3D" w:rsidRDefault="001D5B3D" w:rsidP="00E77527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766450">
        <w:t>M. Hofmanis</w:t>
      </w:r>
    </w:p>
    <w:p w:rsidR="004671C4" w:rsidRDefault="004671C4" w:rsidP="00272811"/>
    <w:p w:rsidR="004671C4" w:rsidRDefault="004671C4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766450">
        <w:t>D. Medniece</w:t>
      </w:r>
    </w:p>
    <w:p w:rsidR="00BE502E" w:rsidRDefault="00BE502E" w:rsidP="00272811"/>
    <w:p w:rsidR="00BE502E" w:rsidRDefault="00BE502E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766450">
        <w:t>S. Grīnbergs</w:t>
      </w:r>
    </w:p>
    <w:p w:rsidR="0020090F" w:rsidRDefault="0020090F" w:rsidP="00272811"/>
    <w:p w:rsidR="00E63A48" w:rsidRDefault="00E63A48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766450">
        <w:t>I. Grīviņa</w:t>
      </w:r>
    </w:p>
    <w:p w:rsidR="00766450" w:rsidRDefault="00766450" w:rsidP="00272811"/>
    <w:p w:rsidR="00766450" w:rsidRDefault="00766450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766450" w:rsidRDefault="00766450" w:rsidP="00272811"/>
    <w:p w:rsidR="00766450" w:rsidRDefault="00766450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766450" w:rsidRDefault="00766450" w:rsidP="00272811">
      <w:r>
        <w:tab/>
      </w:r>
      <w:r>
        <w:tab/>
      </w:r>
    </w:p>
    <w:p w:rsidR="00766450" w:rsidRDefault="00766450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766450" w:rsidRDefault="00766450" w:rsidP="00272811"/>
    <w:p w:rsidR="00766450" w:rsidRDefault="00766450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D15748" w:rsidRDefault="00D15748" w:rsidP="00272811"/>
    <w:p w:rsidR="00D15748" w:rsidRDefault="00D15748" w:rsidP="00272811">
      <w:r>
        <w:t>Eksperti:</w:t>
      </w:r>
      <w:r>
        <w:tab/>
      </w:r>
      <w:r>
        <w:tab/>
      </w:r>
      <w:r>
        <w:tab/>
      </w:r>
      <w:r>
        <w:tab/>
        <w:t>_____________________</w:t>
      </w:r>
      <w:r>
        <w:tab/>
        <w:t>N. Masaļskis</w:t>
      </w:r>
    </w:p>
    <w:p w:rsidR="00D15748" w:rsidRDefault="00D15748" w:rsidP="00272811"/>
    <w:p w:rsidR="00D15748" w:rsidRDefault="00D15748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K. Miķelsone</w:t>
      </w:r>
    </w:p>
    <w:p w:rsidR="00D15748" w:rsidRDefault="00D15748" w:rsidP="00272811"/>
    <w:p w:rsidR="00272811" w:rsidRDefault="00D15748" w:rsidP="00272811">
      <w:r>
        <w:t>Sekretāre:</w:t>
      </w:r>
      <w:r>
        <w:tab/>
      </w:r>
      <w:r>
        <w:tab/>
      </w:r>
      <w:r>
        <w:tab/>
      </w:r>
      <w:r>
        <w:tab/>
        <w:t>_____________________</w:t>
      </w:r>
      <w:r>
        <w:tab/>
        <w:t>A. Liepiņa</w:t>
      </w:r>
      <w:r w:rsidR="00B5557C">
        <w:tab/>
      </w:r>
      <w:r w:rsidR="00B5557C">
        <w:tab/>
      </w:r>
      <w:r w:rsidR="00B5557C">
        <w:tab/>
      </w:r>
      <w:r w:rsidR="00B5557C">
        <w:tab/>
      </w:r>
      <w:r w:rsidR="00B5557C">
        <w:tab/>
      </w:r>
    </w:p>
    <w:p w:rsidR="00272811" w:rsidRDefault="00272811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/>
    <w:p w:rsidR="006B6501" w:rsidRDefault="006B6501"/>
    <w:sectPr w:rsidR="006B6501" w:rsidSect="001246B2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C5A"/>
    <w:multiLevelType w:val="hybridMultilevel"/>
    <w:tmpl w:val="9F9E1E6A"/>
    <w:lvl w:ilvl="0" w:tplc="E5DA65B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5123C"/>
    <w:multiLevelType w:val="hybridMultilevel"/>
    <w:tmpl w:val="8A380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958D3"/>
    <w:multiLevelType w:val="hybridMultilevel"/>
    <w:tmpl w:val="BAF8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623D"/>
    <w:multiLevelType w:val="hybridMultilevel"/>
    <w:tmpl w:val="0C36BEF0"/>
    <w:lvl w:ilvl="0" w:tplc="04260011">
      <w:start w:val="1"/>
      <w:numFmt w:val="decimal"/>
      <w:lvlText w:val="%1)"/>
      <w:lvlJc w:val="left"/>
      <w:pPr>
        <w:ind w:left="752" w:hanging="360"/>
      </w:pPr>
    </w:lvl>
    <w:lvl w:ilvl="1" w:tplc="04260019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6CAD"/>
    <w:multiLevelType w:val="hybridMultilevel"/>
    <w:tmpl w:val="0C36BEF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084DBE"/>
    <w:multiLevelType w:val="hybridMultilevel"/>
    <w:tmpl w:val="8A6862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4A7C"/>
    <w:multiLevelType w:val="hybridMultilevel"/>
    <w:tmpl w:val="71F06C6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C2F10"/>
    <w:multiLevelType w:val="hybridMultilevel"/>
    <w:tmpl w:val="8F60FF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25419"/>
    <w:multiLevelType w:val="hybridMultilevel"/>
    <w:tmpl w:val="1E0C32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12FE9"/>
    <w:rsid w:val="00023654"/>
    <w:rsid w:val="00077C5C"/>
    <w:rsid w:val="000822D9"/>
    <w:rsid w:val="0009587F"/>
    <w:rsid w:val="000B0B2D"/>
    <w:rsid w:val="000C04A9"/>
    <w:rsid w:val="000C31E3"/>
    <w:rsid w:val="00121AED"/>
    <w:rsid w:val="00123279"/>
    <w:rsid w:val="001246B2"/>
    <w:rsid w:val="00146516"/>
    <w:rsid w:val="001D5B3D"/>
    <w:rsid w:val="001E56B8"/>
    <w:rsid w:val="001F4577"/>
    <w:rsid w:val="0020090F"/>
    <w:rsid w:val="00241498"/>
    <w:rsid w:val="002716BB"/>
    <w:rsid w:val="00272811"/>
    <w:rsid w:val="002950C6"/>
    <w:rsid w:val="002A1C45"/>
    <w:rsid w:val="002A54C7"/>
    <w:rsid w:val="002A72D5"/>
    <w:rsid w:val="003241BF"/>
    <w:rsid w:val="00347760"/>
    <w:rsid w:val="00360D37"/>
    <w:rsid w:val="00381801"/>
    <w:rsid w:val="003A2C9D"/>
    <w:rsid w:val="003C20AF"/>
    <w:rsid w:val="003D52F4"/>
    <w:rsid w:val="003D78D5"/>
    <w:rsid w:val="003E6729"/>
    <w:rsid w:val="0045036C"/>
    <w:rsid w:val="0045072A"/>
    <w:rsid w:val="00463D9A"/>
    <w:rsid w:val="004671C4"/>
    <w:rsid w:val="00487F2D"/>
    <w:rsid w:val="004C471B"/>
    <w:rsid w:val="004C478A"/>
    <w:rsid w:val="004E5069"/>
    <w:rsid w:val="00544FEB"/>
    <w:rsid w:val="00553B33"/>
    <w:rsid w:val="005678C1"/>
    <w:rsid w:val="00570800"/>
    <w:rsid w:val="00580D28"/>
    <w:rsid w:val="00582187"/>
    <w:rsid w:val="005D66B5"/>
    <w:rsid w:val="00600BFE"/>
    <w:rsid w:val="00607AD8"/>
    <w:rsid w:val="006208C5"/>
    <w:rsid w:val="00637ACA"/>
    <w:rsid w:val="00644049"/>
    <w:rsid w:val="00650725"/>
    <w:rsid w:val="006622EB"/>
    <w:rsid w:val="00697E2B"/>
    <w:rsid w:val="006B2C5B"/>
    <w:rsid w:val="006B4E61"/>
    <w:rsid w:val="006B6501"/>
    <w:rsid w:val="006B68BA"/>
    <w:rsid w:val="006D295B"/>
    <w:rsid w:val="006D667F"/>
    <w:rsid w:val="007079A4"/>
    <w:rsid w:val="007331FA"/>
    <w:rsid w:val="00766450"/>
    <w:rsid w:val="00781A82"/>
    <w:rsid w:val="00805173"/>
    <w:rsid w:val="0083447E"/>
    <w:rsid w:val="00844A32"/>
    <w:rsid w:val="00863C22"/>
    <w:rsid w:val="008A2CC0"/>
    <w:rsid w:val="008C3F6F"/>
    <w:rsid w:val="008F2668"/>
    <w:rsid w:val="00913B55"/>
    <w:rsid w:val="009553DF"/>
    <w:rsid w:val="00977787"/>
    <w:rsid w:val="009D16A3"/>
    <w:rsid w:val="00A47D1F"/>
    <w:rsid w:val="00A871A3"/>
    <w:rsid w:val="00A871CD"/>
    <w:rsid w:val="00AB020F"/>
    <w:rsid w:val="00AB3053"/>
    <w:rsid w:val="00AE1844"/>
    <w:rsid w:val="00B22AAB"/>
    <w:rsid w:val="00B23A4F"/>
    <w:rsid w:val="00B27748"/>
    <w:rsid w:val="00B30B65"/>
    <w:rsid w:val="00B4068D"/>
    <w:rsid w:val="00B5476F"/>
    <w:rsid w:val="00B5557C"/>
    <w:rsid w:val="00B80BB2"/>
    <w:rsid w:val="00B95BE5"/>
    <w:rsid w:val="00BD1225"/>
    <w:rsid w:val="00BE502E"/>
    <w:rsid w:val="00C93910"/>
    <w:rsid w:val="00CB1941"/>
    <w:rsid w:val="00CB6B30"/>
    <w:rsid w:val="00CD5F7C"/>
    <w:rsid w:val="00CF6726"/>
    <w:rsid w:val="00D018AF"/>
    <w:rsid w:val="00D15748"/>
    <w:rsid w:val="00D24ABF"/>
    <w:rsid w:val="00DB4A36"/>
    <w:rsid w:val="00DB6C6C"/>
    <w:rsid w:val="00DE160A"/>
    <w:rsid w:val="00DE71B3"/>
    <w:rsid w:val="00E0125D"/>
    <w:rsid w:val="00E33CFC"/>
    <w:rsid w:val="00E460B0"/>
    <w:rsid w:val="00E63A48"/>
    <w:rsid w:val="00E64BDB"/>
    <w:rsid w:val="00E77527"/>
    <w:rsid w:val="00EC3097"/>
    <w:rsid w:val="00F4353D"/>
    <w:rsid w:val="00FA0EF8"/>
    <w:rsid w:val="00FB4200"/>
    <w:rsid w:val="00FF235D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59"/>
    <w:rsid w:val="0060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59"/>
    <w:rsid w:val="0060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70</cp:revision>
  <cp:lastPrinted>2016-05-11T08:30:00Z</cp:lastPrinted>
  <dcterms:created xsi:type="dcterms:W3CDTF">2015-03-19T13:27:00Z</dcterms:created>
  <dcterms:modified xsi:type="dcterms:W3CDTF">2016-05-11T08:31:00Z</dcterms:modified>
</cp:coreProperties>
</file>